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01" w:rsidRPr="00DA035C" w:rsidRDefault="00BE7801" w:rsidP="00BE7801">
      <w:pPr>
        <w:tabs>
          <w:tab w:val="left" w:pos="1134"/>
        </w:tabs>
        <w:spacing w:before="240" w:after="360"/>
        <w:rPr>
          <w:rFonts w:ascii="Georgia" w:hAnsi="Georgia"/>
          <w:b/>
          <w:sz w:val="48"/>
          <w:szCs w:val="48"/>
        </w:rPr>
      </w:pPr>
      <w:bookmarkStart w:id="0" w:name="_GoBack"/>
      <w:bookmarkEnd w:id="0"/>
      <w:r w:rsidRPr="00DA035C">
        <w:rPr>
          <w:rFonts w:ascii="Georgia" w:hAnsi="Georgia"/>
          <w:b/>
          <w:sz w:val="48"/>
          <w:szCs w:val="48"/>
        </w:rPr>
        <w:t>Memo</w:t>
      </w:r>
      <w:r>
        <w:rPr>
          <w:noProof/>
          <w:lang w:eastAsia="en-NZ"/>
        </w:rPr>
        <w:t xml:space="preserve"> </w:t>
      </w:r>
    </w:p>
    <w:tbl>
      <w:tblPr>
        <w:tblStyle w:val="TableGrid"/>
        <w:tblW w:w="9781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BE7801" w:rsidRPr="00006665" w:rsidTr="0044233A">
        <w:trPr>
          <w:cantSplit/>
        </w:trPr>
        <w:tc>
          <w:tcPr>
            <w:tcW w:w="9781" w:type="dxa"/>
            <w:tcBorders>
              <w:top w:val="single" w:sz="12" w:space="0" w:color="auto"/>
              <w:bottom w:val="single" w:sz="2" w:space="0" w:color="auto"/>
              <w:right w:val="nil"/>
            </w:tcBorders>
          </w:tcPr>
          <w:p w:rsidR="00BE7801" w:rsidRPr="00D86C80" w:rsidRDefault="00BE7801" w:rsidP="009377E9">
            <w:pPr>
              <w:pStyle w:val="TableText"/>
              <w:tabs>
                <w:tab w:val="left" w:pos="1128"/>
              </w:tabs>
              <w:rPr>
                <w:rFonts w:cs="Arial"/>
                <w:sz w:val="22"/>
                <w:szCs w:val="22"/>
              </w:rPr>
            </w:pPr>
            <w:r w:rsidRPr="00D86C80">
              <w:rPr>
                <w:rFonts w:cs="Arial"/>
                <w:sz w:val="22"/>
                <w:szCs w:val="22"/>
              </w:rPr>
              <w:t>Date: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tab/>
            </w:r>
            <w:r w:rsidR="005F3A7D">
              <w:rPr>
                <w:b/>
              </w:rPr>
              <w:t>1</w:t>
            </w:r>
            <w:r w:rsidR="009377E9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="00EF4FD0">
              <w:rPr>
                <w:b/>
              </w:rPr>
              <w:t>February</w:t>
            </w:r>
            <w:r>
              <w:rPr>
                <w:b/>
              </w:rPr>
              <w:t xml:space="preserve"> 2</w:t>
            </w:r>
            <w:r w:rsidRPr="007D6F56">
              <w:rPr>
                <w:rFonts w:cs="Arial"/>
                <w:b/>
                <w:sz w:val="22"/>
                <w:szCs w:val="22"/>
              </w:rPr>
              <w:t>01</w:t>
            </w:r>
            <w:r w:rsidR="00EF4FD0">
              <w:rPr>
                <w:rFonts w:cs="Arial"/>
                <w:b/>
                <w:sz w:val="22"/>
                <w:szCs w:val="22"/>
              </w:rPr>
              <w:t>6</w:t>
            </w:r>
          </w:p>
        </w:tc>
      </w:tr>
      <w:tr w:rsidR="00BE7801" w:rsidRPr="00006665" w:rsidTr="0044233A">
        <w:trPr>
          <w:cantSplit/>
        </w:trPr>
        <w:tc>
          <w:tcPr>
            <w:tcW w:w="9781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BE7801" w:rsidRPr="00BE7801" w:rsidRDefault="00BE7801" w:rsidP="00BE7801">
            <w:pPr>
              <w:pStyle w:val="TableText"/>
              <w:tabs>
                <w:tab w:val="left" w:pos="1128"/>
              </w:tabs>
              <w:rPr>
                <w:rFonts w:cs="Arial"/>
                <w:b/>
                <w:sz w:val="22"/>
                <w:szCs w:val="22"/>
              </w:rPr>
            </w:pPr>
            <w:r w:rsidRPr="00D86C80">
              <w:rPr>
                <w:rFonts w:cs="Arial"/>
                <w:sz w:val="22"/>
                <w:szCs w:val="22"/>
              </w:rPr>
              <w:t>To:</w:t>
            </w:r>
            <w:r>
              <w:t xml:space="preserve"> </w:t>
            </w:r>
            <w:r>
              <w:tab/>
            </w:r>
            <w:r>
              <w:rPr>
                <w:b/>
              </w:rPr>
              <w:t xml:space="preserve">EGL Christchurch Participants, Navigators, Providers, Manawanui </w:t>
            </w:r>
          </w:p>
        </w:tc>
      </w:tr>
      <w:tr w:rsidR="00BE7801" w:rsidRPr="00006665" w:rsidTr="0044233A">
        <w:trPr>
          <w:cantSplit/>
        </w:trPr>
        <w:tc>
          <w:tcPr>
            <w:tcW w:w="9781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BE7801" w:rsidRPr="00006665" w:rsidRDefault="00BE7801" w:rsidP="00BE7801">
            <w:pPr>
              <w:pStyle w:val="TableText"/>
              <w:ind w:left="1168" w:hanging="1134"/>
              <w:rPr>
                <w:rFonts w:cs="Arial"/>
                <w:b/>
                <w:sz w:val="22"/>
                <w:szCs w:val="22"/>
              </w:rPr>
            </w:pPr>
            <w:r w:rsidRPr="00D86C80">
              <w:rPr>
                <w:rFonts w:cs="Arial"/>
                <w:sz w:val="22"/>
                <w:szCs w:val="22"/>
              </w:rPr>
              <w:t>From:</w:t>
            </w:r>
            <w:r>
              <w:t xml:space="preserve"> </w:t>
            </w:r>
            <w:r>
              <w:tab/>
            </w:r>
            <w:r>
              <w:rPr>
                <w:b/>
              </w:rPr>
              <w:t>Richard Buchanan – Manager Provider Relationships and Personalised Funding, EGL Christchurch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BE7801" w:rsidRPr="00C83C36" w:rsidTr="0044233A">
        <w:trPr>
          <w:cantSplit/>
        </w:trPr>
        <w:tc>
          <w:tcPr>
            <w:tcW w:w="9781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BE7801" w:rsidRPr="00C83C36" w:rsidRDefault="00BE7801" w:rsidP="00A40F83">
            <w:pPr>
              <w:pStyle w:val="TableText"/>
              <w:tabs>
                <w:tab w:val="left" w:pos="1116"/>
              </w:tabs>
              <w:rPr>
                <w:rFonts w:cs="Arial"/>
                <w:b/>
              </w:rPr>
            </w:pPr>
            <w:r w:rsidRPr="00C83C36">
              <w:rPr>
                <w:rFonts w:cs="Arial"/>
                <w:sz w:val="22"/>
                <w:szCs w:val="22"/>
              </w:rPr>
              <w:t>Subject:</w:t>
            </w:r>
            <w:r w:rsidRPr="00C83C36">
              <w:t xml:space="preserve"> </w:t>
            </w:r>
            <w:r w:rsidRPr="00C83C36">
              <w:tab/>
            </w:r>
            <w:r w:rsidR="00EF4FD0">
              <w:rPr>
                <w:b/>
              </w:rPr>
              <w:t xml:space="preserve">Third Party </w:t>
            </w:r>
            <w:r w:rsidR="00496E36">
              <w:rPr>
                <w:b/>
              </w:rPr>
              <w:t xml:space="preserve">Provider </w:t>
            </w:r>
            <w:r w:rsidRPr="00C83C36">
              <w:rPr>
                <w:rFonts w:cs="Arial"/>
                <w:b/>
              </w:rPr>
              <w:t xml:space="preserve">Payment </w:t>
            </w:r>
            <w:r w:rsidR="00EF4FD0">
              <w:rPr>
                <w:rFonts w:cs="Arial"/>
                <w:b/>
              </w:rPr>
              <w:t>Agreement</w:t>
            </w:r>
            <w:r w:rsidRPr="00C83C36">
              <w:rPr>
                <w:rFonts w:cs="Arial"/>
                <w:b/>
              </w:rPr>
              <w:t xml:space="preserve"> </w:t>
            </w:r>
          </w:p>
        </w:tc>
      </w:tr>
      <w:tr w:rsidR="00BE7801" w:rsidRPr="00C83C36" w:rsidTr="0044233A">
        <w:trPr>
          <w:cantSplit/>
        </w:trPr>
        <w:tc>
          <w:tcPr>
            <w:tcW w:w="9781" w:type="dxa"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:rsidR="00BE7801" w:rsidRPr="00C83C36" w:rsidRDefault="00BE7801" w:rsidP="0044233A">
            <w:pPr>
              <w:pStyle w:val="TableText"/>
              <w:tabs>
                <w:tab w:val="left" w:pos="1116"/>
              </w:tabs>
              <w:rPr>
                <w:rFonts w:cs="Arial"/>
                <w:b/>
              </w:rPr>
            </w:pPr>
            <w:r w:rsidRPr="00C83C36">
              <w:rPr>
                <w:rFonts w:cs="Arial"/>
                <w:sz w:val="22"/>
                <w:szCs w:val="22"/>
              </w:rPr>
              <w:t>For your</w:t>
            </w:r>
            <w:r w:rsidRPr="00C83C36">
              <w:rPr>
                <w:rFonts w:cs="Arial"/>
                <w:b/>
                <w:sz w:val="22"/>
                <w:szCs w:val="22"/>
              </w:rPr>
              <w:t>:</w:t>
            </w:r>
            <w:r w:rsidRPr="00C83C36">
              <w:t xml:space="preserve"> </w:t>
            </w:r>
            <w:r w:rsidRPr="00C83C36">
              <w:tab/>
            </w:r>
            <w:r w:rsidRPr="00C83C36">
              <w:rPr>
                <w:rFonts w:cs="Arial"/>
                <w:b/>
              </w:rPr>
              <w:t>Information</w:t>
            </w:r>
          </w:p>
        </w:tc>
      </w:tr>
    </w:tbl>
    <w:p w:rsidR="00BE7801" w:rsidRDefault="00BE7801" w:rsidP="00AF695E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color w:val="000000"/>
          <w:lang w:val="en-US"/>
        </w:rPr>
      </w:pPr>
    </w:p>
    <w:p w:rsidR="00BE7801" w:rsidRDefault="00BE7801" w:rsidP="00AF695E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Purpose</w:t>
      </w:r>
    </w:p>
    <w:p w:rsidR="00BE7801" w:rsidRPr="00BE7801" w:rsidRDefault="00BE7801" w:rsidP="00AF695E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</w:p>
    <w:p w:rsidR="00BE7801" w:rsidRPr="00BE7801" w:rsidRDefault="00D45747" w:rsidP="00AF695E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People </w:t>
      </w:r>
      <w:r w:rsidR="002023F2">
        <w:rPr>
          <w:rFonts w:ascii="Arial" w:hAnsi="Arial" w:cs="Arial"/>
          <w:color w:val="000000"/>
          <w:lang w:val="en-US"/>
        </w:rPr>
        <w:t xml:space="preserve">(Participants) </w:t>
      </w:r>
      <w:r>
        <w:rPr>
          <w:rFonts w:ascii="Arial" w:hAnsi="Arial" w:cs="Arial"/>
          <w:color w:val="000000"/>
          <w:lang w:val="en-US"/>
        </w:rPr>
        <w:t>involved in the Enabling Good Lives (EGL) Christchurch demonstration have the opportunity to use their disability support funding in a number of creative and flexible ways including purchasing services from speciali</w:t>
      </w:r>
      <w:r w:rsidR="00C96455"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>ed disability support</w:t>
      </w:r>
      <w:r w:rsidR="00EF4FD0">
        <w:rPr>
          <w:rFonts w:ascii="Arial" w:hAnsi="Arial" w:cs="Arial"/>
          <w:color w:val="000000"/>
          <w:lang w:val="en-US"/>
        </w:rPr>
        <w:t xml:space="preserve"> providers.  The Third Party Provider Payment Agreement is </w:t>
      </w:r>
      <w:r>
        <w:rPr>
          <w:rFonts w:ascii="Arial" w:hAnsi="Arial" w:cs="Arial"/>
          <w:color w:val="000000"/>
          <w:lang w:val="en-US"/>
        </w:rPr>
        <w:t xml:space="preserve">available to EGL Participants who </w:t>
      </w:r>
      <w:r w:rsidR="00EF4FD0">
        <w:rPr>
          <w:rFonts w:ascii="Arial" w:hAnsi="Arial" w:cs="Arial"/>
          <w:color w:val="000000"/>
          <w:lang w:val="en-US"/>
        </w:rPr>
        <w:t xml:space="preserve">have their personal budgets hosted by Manawanui </w:t>
      </w:r>
      <w:r>
        <w:rPr>
          <w:rFonts w:ascii="Arial" w:hAnsi="Arial" w:cs="Arial"/>
          <w:color w:val="000000"/>
          <w:lang w:val="en-US"/>
        </w:rPr>
        <w:t xml:space="preserve">and wish to have payments made </w:t>
      </w:r>
      <w:r w:rsidR="00EF4FD0">
        <w:rPr>
          <w:rFonts w:ascii="Arial" w:hAnsi="Arial" w:cs="Arial"/>
          <w:color w:val="000000"/>
          <w:lang w:val="en-US"/>
        </w:rPr>
        <w:t xml:space="preserve">to a Provider </w:t>
      </w:r>
      <w:r>
        <w:rPr>
          <w:rFonts w:ascii="Arial" w:hAnsi="Arial" w:cs="Arial"/>
          <w:color w:val="000000"/>
          <w:lang w:val="en-US"/>
        </w:rPr>
        <w:t xml:space="preserve">on their behalf. </w:t>
      </w:r>
    </w:p>
    <w:p w:rsidR="00BE7801" w:rsidRDefault="00BE7801" w:rsidP="00AF695E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color w:val="000000"/>
          <w:lang w:val="en-US"/>
        </w:rPr>
      </w:pPr>
    </w:p>
    <w:p w:rsidR="00AF695E" w:rsidRDefault="00AF695E" w:rsidP="00AF695E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color w:val="000000"/>
          <w:lang w:val="en-US"/>
        </w:rPr>
      </w:pPr>
      <w:r w:rsidRPr="003F685B">
        <w:rPr>
          <w:rFonts w:ascii="Arial" w:hAnsi="Arial" w:cs="Arial"/>
          <w:b/>
          <w:color w:val="000000"/>
          <w:lang w:val="en-US"/>
        </w:rPr>
        <w:t>Background</w:t>
      </w:r>
    </w:p>
    <w:p w:rsidR="00AF695E" w:rsidRPr="003F685B" w:rsidRDefault="00AF695E" w:rsidP="00AF695E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color w:val="000000"/>
          <w:lang w:val="en-US"/>
        </w:rPr>
      </w:pPr>
    </w:p>
    <w:p w:rsidR="00AF695E" w:rsidRDefault="00AF695E" w:rsidP="00D0022E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  <w:r w:rsidRPr="003F685B">
        <w:rPr>
          <w:rFonts w:ascii="Arial" w:hAnsi="Arial" w:cs="Arial"/>
          <w:color w:val="000000"/>
          <w:lang w:val="en-US"/>
        </w:rPr>
        <w:t xml:space="preserve">Enabling Good Lives (EGL) Hosted Personal Budgets </w:t>
      </w:r>
      <w:r>
        <w:rPr>
          <w:rFonts w:ascii="Arial" w:hAnsi="Arial" w:cs="Arial"/>
          <w:color w:val="000000"/>
          <w:lang w:val="en-US"/>
        </w:rPr>
        <w:t xml:space="preserve">(Personal Budget) </w:t>
      </w:r>
      <w:r w:rsidRPr="003F685B">
        <w:rPr>
          <w:rFonts w:ascii="Arial" w:hAnsi="Arial" w:cs="Arial"/>
          <w:color w:val="000000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ere</w:t>
      </w:r>
      <w:r w:rsidRPr="003F685B">
        <w:rPr>
          <w:rFonts w:ascii="Arial" w:hAnsi="Arial" w:cs="Arial"/>
          <w:color w:val="000000"/>
          <w:lang w:val="en-US"/>
        </w:rPr>
        <w:t xml:space="preserve"> introduced within the EGL Christchurch Demonstration to demonstrate the flexible use of a Personal Budget</w:t>
      </w:r>
      <w:r w:rsidR="002378B6">
        <w:rPr>
          <w:rFonts w:ascii="Arial" w:hAnsi="Arial" w:cs="Arial"/>
          <w:color w:val="000000"/>
          <w:lang w:val="en-US"/>
        </w:rPr>
        <w:t xml:space="preserve"> comprising of pooled funding from </w:t>
      </w:r>
      <w:r w:rsidR="002378B6" w:rsidRPr="003F685B">
        <w:rPr>
          <w:rFonts w:ascii="Arial" w:hAnsi="Arial" w:cs="Arial"/>
          <w:color w:val="000000"/>
          <w:lang w:val="en-US"/>
        </w:rPr>
        <w:t>the</w:t>
      </w:r>
      <w:r w:rsidRPr="003F685B">
        <w:rPr>
          <w:rFonts w:ascii="Arial" w:hAnsi="Arial" w:cs="Arial"/>
          <w:color w:val="000000"/>
          <w:lang w:val="en-US"/>
        </w:rPr>
        <w:t xml:space="preserve"> Ministry of Health (</w:t>
      </w:r>
      <w:r>
        <w:rPr>
          <w:rFonts w:ascii="Arial" w:hAnsi="Arial" w:cs="Arial"/>
          <w:color w:val="000000"/>
          <w:lang w:val="en-US"/>
        </w:rPr>
        <w:t>M</w:t>
      </w:r>
      <w:r w:rsidR="005114D8">
        <w:rPr>
          <w:rFonts w:ascii="Arial" w:hAnsi="Arial" w:cs="Arial"/>
          <w:color w:val="000000"/>
          <w:lang w:val="en-US"/>
        </w:rPr>
        <w:t>OH</w:t>
      </w:r>
      <w:r w:rsidRPr="003F685B">
        <w:rPr>
          <w:rFonts w:ascii="Arial" w:hAnsi="Arial" w:cs="Arial"/>
          <w:color w:val="000000"/>
          <w:lang w:val="en-US"/>
        </w:rPr>
        <w:t>), Ministry of Social Development (MSD) and Ministry of Education (MOE)</w:t>
      </w:r>
      <w:r w:rsidR="002378B6">
        <w:rPr>
          <w:rFonts w:ascii="Arial" w:hAnsi="Arial" w:cs="Arial"/>
          <w:color w:val="000000"/>
          <w:lang w:val="en-US"/>
        </w:rPr>
        <w:t xml:space="preserve"> and allocated by Lifelinks (NASC)</w:t>
      </w:r>
      <w:r w:rsidRPr="003F685B">
        <w:rPr>
          <w:rFonts w:ascii="Arial" w:hAnsi="Arial" w:cs="Arial"/>
          <w:color w:val="000000"/>
          <w:lang w:val="en-US"/>
        </w:rPr>
        <w:t xml:space="preserve">. People using a Personal Budget have choice, control and </w:t>
      </w:r>
      <w:r>
        <w:rPr>
          <w:rFonts w:ascii="Arial" w:hAnsi="Arial" w:cs="Arial"/>
          <w:color w:val="000000"/>
          <w:lang w:val="en-US"/>
        </w:rPr>
        <w:t>f</w:t>
      </w:r>
      <w:r w:rsidRPr="003F685B">
        <w:rPr>
          <w:rFonts w:ascii="Arial" w:hAnsi="Arial" w:cs="Arial"/>
          <w:color w:val="000000"/>
          <w:lang w:val="en-US"/>
        </w:rPr>
        <w:t>lexibility over how they use their funding</w:t>
      </w:r>
      <w:r>
        <w:rPr>
          <w:rFonts w:ascii="Arial" w:hAnsi="Arial" w:cs="Arial"/>
          <w:color w:val="000000"/>
          <w:lang w:val="en-US"/>
        </w:rPr>
        <w:t>.</w:t>
      </w:r>
    </w:p>
    <w:p w:rsidR="00AF695E" w:rsidRDefault="00AF695E" w:rsidP="00AF695E">
      <w:pPr>
        <w:autoSpaceDE w:val="0"/>
        <w:autoSpaceDN w:val="0"/>
        <w:adjustRightInd w:val="0"/>
        <w:spacing w:line="240" w:lineRule="atLeast"/>
        <w:ind w:left="426"/>
        <w:rPr>
          <w:rFonts w:ascii="Arial" w:hAnsi="Arial" w:cs="Arial"/>
          <w:color w:val="000000"/>
          <w:lang w:val="en-US"/>
        </w:rPr>
      </w:pPr>
    </w:p>
    <w:p w:rsidR="00AF695E" w:rsidRDefault="00AF695E" w:rsidP="005114D8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  <w:r w:rsidRPr="003F685B">
        <w:rPr>
          <w:rFonts w:ascii="Arial" w:hAnsi="Arial" w:cs="Arial"/>
          <w:color w:val="000000"/>
          <w:lang w:val="en-US"/>
        </w:rPr>
        <w:t xml:space="preserve">People using a </w:t>
      </w:r>
      <w:r>
        <w:rPr>
          <w:rFonts w:ascii="Arial" w:hAnsi="Arial" w:cs="Arial"/>
          <w:color w:val="000000"/>
          <w:lang w:val="en-US"/>
        </w:rPr>
        <w:t>Personal Budget</w:t>
      </w:r>
      <w:r w:rsidRPr="003F685B">
        <w:rPr>
          <w:rFonts w:ascii="Arial" w:hAnsi="Arial" w:cs="Arial"/>
          <w:color w:val="000000"/>
          <w:lang w:val="en-US"/>
        </w:rPr>
        <w:t xml:space="preserve"> are unable to access the GST </w:t>
      </w:r>
      <w:r>
        <w:rPr>
          <w:rFonts w:ascii="Arial" w:hAnsi="Arial" w:cs="Arial"/>
          <w:color w:val="000000"/>
          <w:lang w:val="en-US"/>
        </w:rPr>
        <w:t xml:space="preserve">inclusive </w:t>
      </w:r>
      <w:r w:rsidRPr="003F685B">
        <w:rPr>
          <w:rFonts w:ascii="Arial" w:hAnsi="Arial" w:cs="Arial"/>
          <w:color w:val="000000"/>
          <w:lang w:val="en-US"/>
        </w:rPr>
        <w:t>portion of their Personal Budget</w:t>
      </w:r>
      <w:r w:rsidR="002378B6">
        <w:rPr>
          <w:rFonts w:ascii="Arial" w:hAnsi="Arial" w:cs="Arial"/>
          <w:color w:val="000000"/>
          <w:lang w:val="en-US"/>
        </w:rPr>
        <w:t xml:space="preserve"> as the government is not permitted to include GST in peoples self-managed funding</w:t>
      </w:r>
      <w:r w:rsidRPr="003F685B">
        <w:rPr>
          <w:rFonts w:ascii="Arial" w:hAnsi="Arial" w:cs="Arial"/>
          <w:color w:val="000000"/>
          <w:lang w:val="en-US"/>
        </w:rPr>
        <w:t>.</w:t>
      </w:r>
    </w:p>
    <w:p w:rsidR="00AF695E" w:rsidRPr="003F685B" w:rsidRDefault="00AF695E" w:rsidP="00AF695E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</w:p>
    <w:p w:rsidR="002378B6" w:rsidRDefault="00AF695E" w:rsidP="005114D8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  <w:r w:rsidRPr="003F685B">
        <w:rPr>
          <w:rFonts w:ascii="Arial" w:hAnsi="Arial" w:cs="Arial"/>
          <w:color w:val="000000"/>
          <w:lang w:val="en-US"/>
        </w:rPr>
        <w:t xml:space="preserve">In order to mitigate </w:t>
      </w:r>
      <w:r w:rsidR="002023F2">
        <w:rPr>
          <w:rFonts w:ascii="Arial" w:hAnsi="Arial" w:cs="Arial"/>
          <w:color w:val="000000"/>
          <w:lang w:val="en-US"/>
        </w:rPr>
        <w:t>people</w:t>
      </w:r>
      <w:r w:rsidR="003E1EAB">
        <w:rPr>
          <w:rFonts w:ascii="Arial" w:hAnsi="Arial" w:cs="Arial"/>
          <w:color w:val="000000"/>
          <w:lang w:val="en-US"/>
        </w:rPr>
        <w:t xml:space="preserve"> </w:t>
      </w:r>
      <w:r w:rsidRPr="003F685B">
        <w:rPr>
          <w:rFonts w:ascii="Arial" w:hAnsi="Arial" w:cs="Arial"/>
          <w:color w:val="000000"/>
          <w:lang w:val="en-US"/>
        </w:rPr>
        <w:t xml:space="preserve">from having GST charged against their </w:t>
      </w:r>
      <w:r>
        <w:rPr>
          <w:rFonts w:ascii="Arial" w:hAnsi="Arial" w:cs="Arial"/>
          <w:color w:val="000000"/>
          <w:lang w:val="en-US"/>
        </w:rPr>
        <w:t>Personal Budget</w:t>
      </w:r>
      <w:r w:rsidRPr="003F685B">
        <w:rPr>
          <w:rFonts w:ascii="Arial" w:hAnsi="Arial" w:cs="Arial"/>
          <w:color w:val="000000"/>
          <w:lang w:val="en-US"/>
        </w:rPr>
        <w:t>, on advice from the In</w:t>
      </w:r>
      <w:r>
        <w:rPr>
          <w:rFonts w:ascii="Arial" w:hAnsi="Arial" w:cs="Arial"/>
          <w:color w:val="000000"/>
          <w:lang w:val="en-US"/>
        </w:rPr>
        <w:t>land</w:t>
      </w:r>
      <w:r w:rsidRPr="003F685B">
        <w:rPr>
          <w:rFonts w:ascii="Arial" w:hAnsi="Arial" w:cs="Arial"/>
          <w:color w:val="000000"/>
          <w:lang w:val="en-US"/>
        </w:rPr>
        <w:t xml:space="preserve"> Revenue Department (IRD) and the Ministry</w:t>
      </w:r>
      <w:r>
        <w:rPr>
          <w:rFonts w:ascii="Arial" w:hAnsi="Arial" w:cs="Arial"/>
          <w:color w:val="000000"/>
          <w:lang w:val="en-US"/>
        </w:rPr>
        <w:t xml:space="preserve"> of Health</w:t>
      </w:r>
      <w:r w:rsidRPr="003F685B">
        <w:rPr>
          <w:rFonts w:ascii="Arial" w:hAnsi="Arial" w:cs="Arial"/>
          <w:color w:val="000000"/>
          <w:lang w:val="en-US"/>
        </w:rPr>
        <w:t xml:space="preserve">, </w:t>
      </w:r>
      <w:r>
        <w:rPr>
          <w:rFonts w:ascii="Arial" w:hAnsi="Arial" w:cs="Arial"/>
          <w:color w:val="000000"/>
          <w:lang w:val="en-US"/>
        </w:rPr>
        <w:t>Manawanui</w:t>
      </w:r>
      <w:r w:rsidRPr="003F685B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agrees</w:t>
      </w:r>
      <w:r w:rsidRPr="003F685B">
        <w:rPr>
          <w:rFonts w:ascii="Arial" w:hAnsi="Arial" w:cs="Arial"/>
          <w:color w:val="000000"/>
          <w:lang w:val="en-US"/>
        </w:rPr>
        <w:t xml:space="preserve"> to, on the advice and sole authority of the </w:t>
      </w:r>
      <w:r w:rsidR="002023F2">
        <w:rPr>
          <w:rFonts w:ascii="Arial" w:hAnsi="Arial" w:cs="Arial"/>
          <w:color w:val="000000"/>
          <w:lang w:val="en-US"/>
        </w:rPr>
        <w:t>Person</w:t>
      </w:r>
      <w:r w:rsidR="004E7F53">
        <w:rPr>
          <w:rFonts w:ascii="Arial" w:hAnsi="Arial" w:cs="Arial"/>
          <w:color w:val="000000"/>
          <w:lang w:val="en-US"/>
        </w:rPr>
        <w:t xml:space="preserve"> (or their representative)</w:t>
      </w:r>
      <w:r w:rsidRPr="003F685B">
        <w:rPr>
          <w:rFonts w:ascii="Arial" w:hAnsi="Arial" w:cs="Arial"/>
          <w:color w:val="000000"/>
          <w:lang w:val="en-US"/>
        </w:rPr>
        <w:t xml:space="preserve">, purchase supports from </w:t>
      </w:r>
      <w:r w:rsidR="004E7F53">
        <w:rPr>
          <w:rFonts w:ascii="Arial" w:hAnsi="Arial" w:cs="Arial"/>
          <w:color w:val="000000"/>
          <w:lang w:val="en-US"/>
        </w:rPr>
        <w:t xml:space="preserve">a Provider </w:t>
      </w:r>
      <w:r w:rsidRPr="003F685B">
        <w:rPr>
          <w:rFonts w:ascii="Arial" w:hAnsi="Arial" w:cs="Arial"/>
          <w:color w:val="000000"/>
          <w:lang w:val="en-US"/>
        </w:rPr>
        <w:t xml:space="preserve">on the </w:t>
      </w:r>
      <w:r w:rsidR="002023F2">
        <w:rPr>
          <w:rFonts w:ascii="Arial" w:hAnsi="Arial" w:cs="Arial"/>
          <w:color w:val="000000"/>
          <w:lang w:val="en-US"/>
        </w:rPr>
        <w:t>Person</w:t>
      </w:r>
      <w:r w:rsidR="003E1EAB">
        <w:rPr>
          <w:rFonts w:ascii="Arial" w:hAnsi="Arial" w:cs="Arial"/>
          <w:color w:val="000000"/>
          <w:lang w:val="en-US"/>
        </w:rPr>
        <w:t xml:space="preserve">’s </w:t>
      </w:r>
      <w:r w:rsidRPr="003F685B">
        <w:rPr>
          <w:rFonts w:ascii="Arial" w:hAnsi="Arial" w:cs="Arial"/>
          <w:color w:val="000000"/>
          <w:lang w:val="en-US"/>
        </w:rPr>
        <w:t xml:space="preserve">behalf and to recover such payment </w:t>
      </w:r>
      <w:r>
        <w:rPr>
          <w:rFonts w:ascii="Arial" w:hAnsi="Arial" w:cs="Arial"/>
          <w:color w:val="000000"/>
          <w:lang w:val="en-US"/>
        </w:rPr>
        <w:t>(</w:t>
      </w:r>
      <w:r w:rsidRPr="003F685B">
        <w:rPr>
          <w:rFonts w:ascii="Arial" w:hAnsi="Arial" w:cs="Arial"/>
          <w:color w:val="000000"/>
          <w:lang w:val="en-US"/>
        </w:rPr>
        <w:t>excl</w:t>
      </w:r>
      <w:r>
        <w:rPr>
          <w:rFonts w:ascii="Arial" w:hAnsi="Arial" w:cs="Arial"/>
          <w:color w:val="000000"/>
          <w:lang w:val="en-US"/>
        </w:rPr>
        <w:t>usive of</w:t>
      </w:r>
      <w:r w:rsidRPr="003F685B">
        <w:rPr>
          <w:rFonts w:ascii="Arial" w:hAnsi="Arial" w:cs="Arial"/>
          <w:color w:val="000000"/>
          <w:lang w:val="en-US"/>
        </w:rPr>
        <w:t xml:space="preserve"> GST</w:t>
      </w:r>
      <w:r>
        <w:rPr>
          <w:rFonts w:ascii="Arial" w:hAnsi="Arial" w:cs="Arial"/>
          <w:color w:val="000000"/>
          <w:lang w:val="en-US"/>
        </w:rPr>
        <w:t>)</w:t>
      </w:r>
      <w:r w:rsidRPr="003F685B">
        <w:rPr>
          <w:rFonts w:ascii="Arial" w:hAnsi="Arial" w:cs="Arial"/>
          <w:color w:val="000000"/>
          <w:lang w:val="en-US"/>
        </w:rPr>
        <w:t xml:space="preserve"> from the </w:t>
      </w:r>
      <w:r>
        <w:rPr>
          <w:rFonts w:ascii="Arial" w:hAnsi="Arial" w:cs="Arial"/>
          <w:color w:val="000000"/>
          <w:lang w:val="en-US"/>
        </w:rPr>
        <w:t>P</w:t>
      </w:r>
      <w:r w:rsidR="002023F2">
        <w:rPr>
          <w:rFonts w:ascii="Arial" w:hAnsi="Arial" w:cs="Arial"/>
          <w:color w:val="000000"/>
          <w:lang w:val="en-US"/>
        </w:rPr>
        <w:t>erson</w:t>
      </w:r>
      <w:r>
        <w:rPr>
          <w:rFonts w:ascii="Arial" w:hAnsi="Arial" w:cs="Arial"/>
          <w:color w:val="000000"/>
          <w:lang w:val="en-US"/>
        </w:rPr>
        <w:t>’s</w:t>
      </w:r>
      <w:r w:rsidRPr="003F685B">
        <w:rPr>
          <w:rFonts w:ascii="Arial" w:hAnsi="Arial" w:cs="Arial"/>
          <w:color w:val="000000"/>
          <w:lang w:val="en-US"/>
        </w:rPr>
        <w:t xml:space="preserve"> Personal Budget.</w:t>
      </w:r>
      <w:r w:rsidR="002378B6">
        <w:rPr>
          <w:rFonts w:ascii="Arial" w:hAnsi="Arial" w:cs="Arial"/>
          <w:color w:val="000000"/>
          <w:lang w:val="en-US"/>
        </w:rPr>
        <w:t xml:space="preserve">  Manawanui will pay and recover the GST component of payments themselves.</w:t>
      </w:r>
    </w:p>
    <w:p w:rsidR="002378B6" w:rsidRDefault="002378B6" w:rsidP="005114D8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</w:p>
    <w:p w:rsidR="00AF695E" w:rsidRDefault="00AF695E" w:rsidP="005114D8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</w:p>
    <w:p w:rsidR="00B17D7F" w:rsidRDefault="00B17D7F" w:rsidP="005114D8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</w:p>
    <w:p w:rsidR="005F3A7D" w:rsidRDefault="005F3A7D" w:rsidP="005114D8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</w:p>
    <w:p w:rsidR="00FC401B" w:rsidRDefault="00FC401B" w:rsidP="005114D8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</w:p>
    <w:p w:rsidR="00B17D7F" w:rsidRDefault="00B17D7F" w:rsidP="005114D8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</w:p>
    <w:p w:rsidR="00B17D7F" w:rsidRPr="00B17D7F" w:rsidRDefault="00B17D7F" w:rsidP="005114D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lastRenderedPageBreak/>
        <w:t>Process</w:t>
      </w:r>
    </w:p>
    <w:p w:rsidR="00B17D7F" w:rsidRPr="003F685B" w:rsidRDefault="00B17D7F" w:rsidP="005114D8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</w:p>
    <w:p w:rsidR="00CD619F" w:rsidRDefault="00CD619F" w:rsidP="00AF695E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To enable such payments to be made by Manawanui on behalf of </w:t>
      </w:r>
      <w:r w:rsidR="002023F2">
        <w:rPr>
          <w:rFonts w:ascii="Arial" w:hAnsi="Arial" w:cs="Arial"/>
          <w:color w:val="000000"/>
          <w:lang w:val="en-US"/>
        </w:rPr>
        <w:t>people</w:t>
      </w:r>
      <w:r>
        <w:rPr>
          <w:rFonts w:ascii="Arial" w:hAnsi="Arial" w:cs="Arial"/>
          <w:color w:val="000000"/>
          <w:lang w:val="en-US"/>
        </w:rPr>
        <w:t>, the following must occur:</w:t>
      </w:r>
    </w:p>
    <w:p w:rsidR="00387D4D" w:rsidRPr="00387D4D" w:rsidRDefault="00CD619F" w:rsidP="00387D4D">
      <w:pPr>
        <w:numPr>
          <w:ilvl w:val="0"/>
          <w:numId w:val="38"/>
        </w:numPr>
        <w:spacing w:line="276" w:lineRule="auto"/>
        <w:ind w:hanging="357"/>
        <w:rPr>
          <w:rFonts w:ascii="Arial" w:hAnsi="Arial" w:cs="Arial"/>
        </w:rPr>
      </w:pPr>
      <w:r>
        <w:rPr>
          <w:rFonts w:ascii="Arial" w:hAnsi="Arial" w:cs="Arial"/>
          <w:color w:val="000000"/>
          <w:lang w:val="en-US"/>
        </w:rPr>
        <w:t>The P</w:t>
      </w:r>
      <w:r w:rsidR="002023F2">
        <w:rPr>
          <w:rFonts w:ascii="Arial" w:hAnsi="Arial" w:cs="Arial"/>
          <w:color w:val="000000"/>
          <w:lang w:val="en-US"/>
        </w:rPr>
        <w:t>erson</w:t>
      </w:r>
      <w:r>
        <w:rPr>
          <w:rFonts w:ascii="Arial" w:hAnsi="Arial" w:cs="Arial"/>
          <w:color w:val="000000"/>
          <w:lang w:val="en-US"/>
        </w:rPr>
        <w:t xml:space="preserve"> (or their representative) must sign a service agreement</w:t>
      </w:r>
      <w:r w:rsidR="00FC401B">
        <w:rPr>
          <w:rFonts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with the Provider which will include</w:t>
      </w:r>
      <w:r w:rsidR="00B17D7F">
        <w:rPr>
          <w:rFonts w:ascii="Arial" w:hAnsi="Arial" w:cs="Arial"/>
          <w:color w:val="000000"/>
          <w:lang w:val="en-US"/>
        </w:rPr>
        <w:t xml:space="preserve"> but not be limited to</w:t>
      </w:r>
      <w:r w:rsidR="00387D4D">
        <w:rPr>
          <w:rFonts w:ascii="Arial" w:hAnsi="Arial" w:cs="Arial"/>
          <w:color w:val="000000"/>
          <w:lang w:val="en-US"/>
        </w:rPr>
        <w:t>:</w:t>
      </w:r>
    </w:p>
    <w:p w:rsidR="00387D4D" w:rsidRPr="00387D4D" w:rsidRDefault="00387D4D" w:rsidP="00387D4D">
      <w:pPr>
        <w:numPr>
          <w:ilvl w:val="1"/>
          <w:numId w:val="38"/>
        </w:numPr>
        <w:spacing w:line="276" w:lineRule="auto"/>
        <w:rPr>
          <w:rFonts w:ascii="Arial" w:hAnsi="Arial" w:cs="Arial"/>
        </w:rPr>
      </w:pPr>
      <w:r w:rsidRPr="00387D4D">
        <w:rPr>
          <w:rFonts w:ascii="Arial" w:hAnsi="Arial" w:cs="Arial"/>
        </w:rPr>
        <w:t>The supports that will be provided.</w:t>
      </w:r>
    </w:p>
    <w:p w:rsidR="00387D4D" w:rsidRPr="00387D4D" w:rsidRDefault="00387D4D" w:rsidP="00387D4D">
      <w:pPr>
        <w:numPr>
          <w:ilvl w:val="1"/>
          <w:numId w:val="38"/>
        </w:numPr>
        <w:spacing w:line="276" w:lineRule="auto"/>
        <w:rPr>
          <w:rFonts w:ascii="Arial" w:hAnsi="Arial" w:cs="Arial"/>
        </w:rPr>
      </w:pPr>
      <w:r w:rsidRPr="00387D4D">
        <w:rPr>
          <w:rFonts w:ascii="Arial" w:hAnsi="Arial" w:cs="Arial"/>
        </w:rPr>
        <w:t>The cost of supports</w:t>
      </w:r>
      <w:r>
        <w:rPr>
          <w:rFonts w:ascii="Arial" w:hAnsi="Arial" w:cs="Arial"/>
        </w:rPr>
        <w:t xml:space="preserve"> and a payment schedule</w:t>
      </w:r>
      <w:r w:rsidRPr="00387D4D">
        <w:rPr>
          <w:rFonts w:ascii="Arial" w:hAnsi="Arial" w:cs="Arial"/>
        </w:rPr>
        <w:t>.</w:t>
      </w:r>
    </w:p>
    <w:p w:rsidR="00387D4D" w:rsidRPr="00387D4D" w:rsidRDefault="00387D4D" w:rsidP="0091765E">
      <w:pPr>
        <w:numPr>
          <w:ilvl w:val="1"/>
          <w:numId w:val="38"/>
        </w:numPr>
        <w:spacing w:line="276" w:lineRule="auto"/>
        <w:rPr>
          <w:rFonts w:ascii="Arial" w:hAnsi="Arial" w:cs="Arial"/>
        </w:rPr>
      </w:pPr>
      <w:r w:rsidRPr="00387D4D">
        <w:rPr>
          <w:rFonts w:ascii="Arial" w:hAnsi="Arial" w:cs="Arial"/>
        </w:rPr>
        <w:t>How long the supports will be provided for.</w:t>
      </w:r>
    </w:p>
    <w:p w:rsidR="00387D4D" w:rsidRPr="00387D4D" w:rsidRDefault="00387D4D" w:rsidP="0091765E">
      <w:pPr>
        <w:numPr>
          <w:ilvl w:val="1"/>
          <w:numId w:val="38"/>
        </w:numPr>
        <w:spacing w:line="276" w:lineRule="auto"/>
        <w:rPr>
          <w:rFonts w:ascii="Arial" w:hAnsi="Arial" w:cs="Arial"/>
        </w:rPr>
      </w:pPr>
      <w:r w:rsidRPr="00387D4D">
        <w:rPr>
          <w:rFonts w:ascii="Arial" w:hAnsi="Arial" w:cs="Arial"/>
        </w:rPr>
        <w:t xml:space="preserve">When and how </w:t>
      </w:r>
      <w:r>
        <w:rPr>
          <w:rFonts w:ascii="Arial" w:hAnsi="Arial" w:cs="Arial"/>
        </w:rPr>
        <w:t>the</w:t>
      </w:r>
      <w:r w:rsidRPr="00387D4D">
        <w:rPr>
          <w:rFonts w:ascii="Arial" w:hAnsi="Arial" w:cs="Arial"/>
        </w:rPr>
        <w:t xml:space="preserve"> agreement will be reviewed.</w:t>
      </w:r>
    </w:p>
    <w:p w:rsidR="00387D4D" w:rsidRPr="00387D4D" w:rsidRDefault="00387D4D" w:rsidP="0091765E">
      <w:pPr>
        <w:numPr>
          <w:ilvl w:val="1"/>
          <w:numId w:val="38"/>
        </w:numPr>
        <w:spacing w:line="276" w:lineRule="auto"/>
        <w:rPr>
          <w:rFonts w:ascii="Arial" w:hAnsi="Arial" w:cs="Arial"/>
        </w:rPr>
      </w:pPr>
      <w:r w:rsidRPr="00387D4D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 xml:space="preserve">both parties </w:t>
      </w:r>
      <w:r w:rsidR="00C221CF">
        <w:rPr>
          <w:rFonts w:ascii="Arial" w:hAnsi="Arial" w:cs="Arial"/>
        </w:rPr>
        <w:t>will resolve any difficulties</w:t>
      </w:r>
      <w:r w:rsidRPr="00387D4D">
        <w:rPr>
          <w:rFonts w:ascii="Arial" w:hAnsi="Arial" w:cs="Arial"/>
        </w:rPr>
        <w:t xml:space="preserve"> should they arise. </w:t>
      </w:r>
    </w:p>
    <w:p w:rsidR="00387D4D" w:rsidRPr="00387D4D" w:rsidRDefault="00387D4D" w:rsidP="0091765E">
      <w:pPr>
        <w:numPr>
          <w:ilvl w:val="1"/>
          <w:numId w:val="38"/>
        </w:numPr>
        <w:spacing w:line="276" w:lineRule="auto"/>
        <w:rPr>
          <w:rFonts w:ascii="Arial" w:hAnsi="Arial" w:cs="Arial"/>
        </w:rPr>
      </w:pPr>
      <w:r w:rsidRPr="00387D4D">
        <w:rPr>
          <w:rFonts w:ascii="Arial" w:hAnsi="Arial" w:cs="Arial"/>
        </w:rPr>
        <w:t>What the responsibilities of both parties are.</w:t>
      </w:r>
    </w:p>
    <w:p w:rsidR="00387D4D" w:rsidRDefault="00387D4D" w:rsidP="0091765E">
      <w:pPr>
        <w:numPr>
          <w:ilvl w:val="1"/>
          <w:numId w:val="38"/>
        </w:numPr>
        <w:spacing w:line="276" w:lineRule="auto"/>
        <w:rPr>
          <w:rFonts w:ascii="Arial" w:hAnsi="Arial" w:cs="Arial"/>
        </w:rPr>
      </w:pPr>
      <w:r w:rsidRPr="00387D4D">
        <w:rPr>
          <w:rFonts w:ascii="Arial" w:hAnsi="Arial" w:cs="Arial"/>
        </w:rPr>
        <w:t>What notice is needed to end the agreement.</w:t>
      </w:r>
    </w:p>
    <w:p w:rsidR="0091765E" w:rsidRDefault="0091765E" w:rsidP="0091765E">
      <w:pPr>
        <w:spacing w:line="276" w:lineRule="auto"/>
        <w:ind w:left="1080"/>
        <w:rPr>
          <w:rFonts w:ascii="Arial" w:hAnsi="Arial" w:cs="Arial"/>
        </w:rPr>
      </w:pPr>
    </w:p>
    <w:p w:rsidR="0091765E" w:rsidRDefault="0091765E" w:rsidP="0091765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It is critical that the cost of the service and a payment schedule is included in this agreement as this will mandate Manawanui to be able to make payments to the Provider on the </w:t>
      </w:r>
      <w:r w:rsidR="002023F2">
        <w:rPr>
          <w:rFonts w:ascii="Arial" w:hAnsi="Arial" w:cs="Arial"/>
          <w:b/>
        </w:rPr>
        <w:t>Person</w:t>
      </w:r>
      <w:r>
        <w:rPr>
          <w:rFonts w:ascii="Arial" w:hAnsi="Arial" w:cs="Arial"/>
          <w:b/>
        </w:rPr>
        <w:t>s behalf.    A copy of the signed agreement will need to be retained by Manawanui.</w:t>
      </w:r>
    </w:p>
    <w:p w:rsidR="0091765E" w:rsidRPr="0091765E" w:rsidRDefault="0091765E" w:rsidP="0091765E">
      <w:pPr>
        <w:spacing w:line="276" w:lineRule="auto"/>
        <w:rPr>
          <w:rFonts w:ascii="Arial" w:hAnsi="Arial" w:cs="Arial"/>
          <w:b/>
        </w:rPr>
      </w:pPr>
    </w:p>
    <w:p w:rsidR="003E1EAB" w:rsidRDefault="00B17D7F" w:rsidP="00CD619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The P</w:t>
      </w:r>
      <w:r w:rsidR="002023F2">
        <w:rPr>
          <w:rFonts w:ascii="Arial" w:hAnsi="Arial" w:cs="Arial"/>
          <w:color w:val="000000"/>
          <w:lang w:val="en-US"/>
        </w:rPr>
        <w:t>erson</w:t>
      </w:r>
      <w:r w:rsidR="00372413">
        <w:rPr>
          <w:rFonts w:ascii="Arial" w:hAnsi="Arial" w:cs="Arial"/>
          <w:color w:val="000000"/>
          <w:lang w:val="en-US"/>
        </w:rPr>
        <w:t xml:space="preserve"> (or their representative)</w:t>
      </w:r>
      <w:r>
        <w:rPr>
          <w:rFonts w:ascii="Arial" w:hAnsi="Arial" w:cs="Arial"/>
          <w:color w:val="000000"/>
          <w:lang w:val="en-US"/>
        </w:rPr>
        <w:t xml:space="preserve">, the Provider and Manawanui will need to enter into a transaction </w:t>
      </w:r>
      <w:r w:rsidR="00CD619F" w:rsidRPr="00CD619F">
        <w:rPr>
          <w:rFonts w:ascii="Arial" w:hAnsi="Arial" w:cs="Arial"/>
          <w:color w:val="000000"/>
          <w:lang w:val="en-US"/>
        </w:rPr>
        <w:t>agreement</w:t>
      </w:r>
      <w:r w:rsidR="005F3A7D">
        <w:rPr>
          <w:rFonts w:ascii="Arial" w:hAnsi="Arial" w:cs="Arial"/>
          <w:color w:val="000000"/>
          <w:lang w:val="en-US"/>
        </w:rPr>
        <w:t xml:space="preserve"> called a Third Party </w:t>
      </w:r>
      <w:r w:rsidR="00496E36">
        <w:rPr>
          <w:rFonts w:ascii="Arial" w:hAnsi="Arial" w:cs="Arial"/>
          <w:color w:val="000000"/>
          <w:lang w:val="en-US"/>
        </w:rPr>
        <w:t xml:space="preserve">Provider </w:t>
      </w:r>
      <w:r w:rsidR="005F3A7D">
        <w:rPr>
          <w:rFonts w:ascii="Arial" w:hAnsi="Arial" w:cs="Arial"/>
          <w:color w:val="000000"/>
          <w:lang w:val="en-US"/>
        </w:rPr>
        <w:t>Payment Agreement</w:t>
      </w:r>
      <w:r w:rsidR="00CD619F" w:rsidRPr="00CD619F">
        <w:rPr>
          <w:rFonts w:ascii="Arial" w:hAnsi="Arial" w:cs="Arial"/>
          <w:color w:val="000000"/>
          <w:lang w:val="en-US"/>
        </w:rPr>
        <w:t xml:space="preserve"> (attached) </w:t>
      </w:r>
      <w:r>
        <w:rPr>
          <w:rFonts w:ascii="Arial" w:hAnsi="Arial" w:cs="Arial"/>
          <w:color w:val="000000"/>
          <w:lang w:val="en-US"/>
        </w:rPr>
        <w:t xml:space="preserve">that allows Manawanui to pay the Provider </w:t>
      </w:r>
      <w:r w:rsidR="00372413">
        <w:rPr>
          <w:rFonts w:ascii="Arial" w:hAnsi="Arial" w:cs="Arial"/>
          <w:color w:val="000000"/>
          <w:lang w:val="en-US"/>
        </w:rPr>
        <w:t xml:space="preserve">for services received by the </w:t>
      </w:r>
      <w:r w:rsidR="002023F2">
        <w:rPr>
          <w:rFonts w:ascii="Arial" w:hAnsi="Arial" w:cs="Arial"/>
          <w:color w:val="000000"/>
          <w:lang w:val="en-US"/>
        </w:rPr>
        <w:t>Person</w:t>
      </w:r>
      <w:r w:rsidR="00372413">
        <w:rPr>
          <w:rFonts w:ascii="Arial" w:hAnsi="Arial" w:cs="Arial"/>
          <w:color w:val="000000"/>
          <w:lang w:val="en-US"/>
        </w:rPr>
        <w:t xml:space="preserve"> and according to the cost of the service and the payment schedule negotiated betw</w:t>
      </w:r>
      <w:r w:rsidR="002023F2">
        <w:rPr>
          <w:rFonts w:ascii="Arial" w:hAnsi="Arial" w:cs="Arial"/>
          <w:color w:val="000000"/>
          <w:lang w:val="en-US"/>
        </w:rPr>
        <w:t>een the Person</w:t>
      </w:r>
      <w:r w:rsidR="00372413">
        <w:rPr>
          <w:rFonts w:ascii="Arial" w:hAnsi="Arial" w:cs="Arial"/>
          <w:color w:val="000000"/>
          <w:lang w:val="en-US"/>
        </w:rPr>
        <w:t xml:space="preserve"> and the Provider.</w:t>
      </w:r>
    </w:p>
    <w:p w:rsidR="00372413" w:rsidRDefault="00372413" w:rsidP="00372413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</w:p>
    <w:p w:rsidR="00372413" w:rsidRPr="00372413" w:rsidRDefault="00200553" w:rsidP="0037241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The Provider will then be able to invoice Manawanui directly on behalf of the EGL Participant according </w:t>
      </w:r>
      <w:r w:rsidR="00C96455">
        <w:rPr>
          <w:rFonts w:ascii="Arial" w:hAnsi="Arial" w:cs="Arial"/>
          <w:color w:val="000000"/>
          <w:lang w:val="en-US"/>
        </w:rPr>
        <w:t>to the</w:t>
      </w:r>
      <w:r w:rsidR="00372413">
        <w:rPr>
          <w:rFonts w:ascii="Arial" w:hAnsi="Arial" w:cs="Arial"/>
          <w:color w:val="000000"/>
          <w:lang w:val="en-US"/>
        </w:rPr>
        <w:t xml:space="preserve"> payment schedule </w:t>
      </w:r>
      <w:r>
        <w:rPr>
          <w:rFonts w:ascii="Arial" w:hAnsi="Arial" w:cs="Arial"/>
          <w:color w:val="000000"/>
          <w:lang w:val="en-US"/>
        </w:rPr>
        <w:t xml:space="preserve">that has been agreed to </w:t>
      </w:r>
      <w:r w:rsidR="00372413">
        <w:rPr>
          <w:rFonts w:ascii="Arial" w:hAnsi="Arial" w:cs="Arial"/>
          <w:color w:val="000000"/>
          <w:lang w:val="en-US"/>
        </w:rPr>
        <w:t>as above</w:t>
      </w:r>
      <w:r>
        <w:rPr>
          <w:rFonts w:ascii="Arial" w:hAnsi="Arial" w:cs="Arial"/>
          <w:color w:val="000000"/>
          <w:lang w:val="en-US"/>
        </w:rPr>
        <w:t>.  These</w:t>
      </w:r>
      <w:r w:rsidR="00372413">
        <w:rPr>
          <w:rFonts w:ascii="Arial" w:hAnsi="Arial" w:cs="Arial"/>
          <w:color w:val="000000"/>
          <w:lang w:val="en-US"/>
        </w:rPr>
        <w:t xml:space="preserve"> transactions</w:t>
      </w:r>
      <w:r w:rsidR="002023F2">
        <w:rPr>
          <w:rFonts w:ascii="Arial" w:hAnsi="Arial" w:cs="Arial"/>
          <w:color w:val="000000"/>
          <w:lang w:val="en-US"/>
        </w:rPr>
        <w:t xml:space="preserve"> will be reflected in the Person’s</w:t>
      </w:r>
      <w:r w:rsidR="00372413">
        <w:rPr>
          <w:rFonts w:ascii="Arial" w:hAnsi="Arial" w:cs="Arial"/>
          <w:color w:val="000000"/>
          <w:lang w:val="en-US"/>
        </w:rPr>
        <w:t xml:space="preserve"> financial statement supplied by Manawanui.</w:t>
      </w:r>
    </w:p>
    <w:p w:rsidR="00AF695E" w:rsidRDefault="00AF695E" w:rsidP="005D4F0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lang w:val="en-US"/>
        </w:rPr>
      </w:pPr>
    </w:p>
    <w:p w:rsidR="005D4F05" w:rsidRDefault="00FC401B" w:rsidP="005D4F05">
      <w:p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 xml:space="preserve">Where this arrangement applies to the use of </w:t>
      </w:r>
      <w:r w:rsidR="002023F2">
        <w:rPr>
          <w:rFonts w:ascii="Arial" w:hAnsi="Arial" w:cs="Arial"/>
          <w:bCs/>
          <w:color w:val="000000"/>
          <w:lang w:val="en-US"/>
        </w:rPr>
        <w:t>people</w:t>
      </w:r>
      <w:r>
        <w:rPr>
          <w:rFonts w:ascii="Arial" w:hAnsi="Arial" w:cs="Arial"/>
          <w:bCs/>
          <w:color w:val="000000"/>
          <w:lang w:val="en-US"/>
        </w:rPr>
        <w:t>s</w:t>
      </w:r>
      <w:r w:rsidR="002023F2">
        <w:rPr>
          <w:rFonts w:ascii="Arial" w:hAnsi="Arial" w:cs="Arial"/>
          <w:bCs/>
          <w:color w:val="000000"/>
          <w:lang w:val="en-US"/>
        </w:rPr>
        <w:t>’</w:t>
      </w:r>
      <w:r>
        <w:rPr>
          <w:rFonts w:ascii="Arial" w:hAnsi="Arial" w:cs="Arial"/>
          <w:bCs/>
          <w:color w:val="000000"/>
          <w:lang w:val="en-US"/>
        </w:rPr>
        <w:t xml:space="preserve"> entire MSD portion of their Personal Budgets only, </w:t>
      </w:r>
      <w:r w:rsidR="00C96455">
        <w:rPr>
          <w:rFonts w:ascii="Arial" w:hAnsi="Arial" w:cs="Arial"/>
          <w:bCs/>
          <w:color w:val="000000"/>
          <w:lang w:val="en-US"/>
        </w:rPr>
        <w:t>Providers will invoice Manawanui on behalf of P</w:t>
      </w:r>
      <w:r w:rsidR="002023F2">
        <w:rPr>
          <w:rFonts w:ascii="Arial" w:hAnsi="Arial" w:cs="Arial"/>
          <w:bCs/>
          <w:color w:val="000000"/>
          <w:lang w:val="en-US"/>
        </w:rPr>
        <w:t>erson</w:t>
      </w:r>
      <w:r w:rsidR="008655A1">
        <w:rPr>
          <w:rFonts w:ascii="Arial" w:hAnsi="Arial" w:cs="Arial"/>
          <w:bCs/>
          <w:color w:val="000000"/>
          <w:lang w:val="en-US"/>
        </w:rPr>
        <w:t xml:space="preserve"> four times per year and the</w:t>
      </w:r>
      <w:r w:rsidR="00C96455">
        <w:rPr>
          <w:rFonts w:ascii="Arial" w:hAnsi="Arial" w:cs="Arial"/>
          <w:bCs/>
          <w:color w:val="000000"/>
          <w:lang w:val="en-US"/>
        </w:rPr>
        <w:t xml:space="preserve"> P</w:t>
      </w:r>
      <w:r w:rsidR="002023F2">
        <w:rPr>
          <w:rFonts w:ascii="Arial" w:hAnsi="Arial" w:cs="Arial"/>
          <w:bCs/>
          <w:color w:val="000000"/>
          <w:lang w:val="en-US"/>
        </w:rPr>
        <w:t xml:space="preserve">erson </w:t>
      </w:r>
      <w:r w:rsidR="00C96455">
        <w:rPr>
          <w:rFonts w:ascii="Arial" w:hAnsi="Arial" w:cs="Arial"/>
          <w:bCs/>
          <w:color w:val="000000"/>
          <w:lang w:val="en-US"/>
        </w:rPr>
        <w:t>will not be charged for these transactions.</w:t>
      </w:r>
      <w:r w:rsidR="008655A1">
        <w:rPr>
          <w:rFonts w:ascii="Arial" w:hAnsi="Arial" w:cs="Arial"/>
          <w:bCs/>
          <w:color w:val="000000"/>
          <w:lang w:val="en-US"/>
        </w:rPr>
        <w:t xml:space="preserve">  If </w:t>
      </w:r>
      <w:r w:rsidR="00E7569C">
        <w:rPr>
          <w:rFonts w:ascii="Arial" w:hAnsi="Arial" w:cs="Arial"/>
          <w:bCs/>
          <w:color w:val="000000"/>
          <w:lang w:val="en-US"/>
        </w:rPr>
        <w:t xml:space="preserve">a </w:t>
      </w:r>
      <w:r w:rsidR="008655A1">
        <w:rPr>
          <w:rFonts w:ascii="Arial" w:hAnsi="Arial" w:cs="Arial"/>
          <w:bCs/>
          <w:color w:val="000000"/>
          <w:lang w:val="en-US"/>
        </w:rPr>
        <w:t>P</w:t>
      </w:r>
      <w:r w:rsidR="00E7569C">
        <w:rPr>
          <w:rFonts w:ascii="Arial" w:hAnsi="Arial" w:cs="Arial"/>
          <w:bCs/>
          <w:color w:val="000000"/>
          <w:lang w:val="en-US"/>
        </w:rPr>
        <w:t>erson</w:t>
      </w:r>
      <w:r w:rsidR="008655A1">
        <w:rPr>
          <w:rFonts w:ascii="Arial" w:hAnsi="Arial" w:cs="Arial"/>
          <w:bCs/>
          <w:color w:val="000000"/>
          <w:lang w:val="en-US"/>
        </w:rPr>
        <w:t xml:space="preserve"> wish</w:t>
      </w:r>
      <w:r w:rsidR="00A40F83">
        <w:rPr>
          <w:rFonts w:ascii="Arial" w:hAnsi="Arial" w:cs="Arial"/>
          <w:bCs/>
          <w:color w:val="000000"/>
          <w:lang w:val="en-US"/>
        </w:rPr>
        <w:t>es</w:t>
      </w:r>
      <w:r w:rsidR="008655A1">
        <w:rPr>
          <w:rFonts w:ascii="Arial" w:hAnsi="Arial" w:cs="Arial"/>
          <w:bCs/>
          <w:color w:val="000000"/>
          <w:lang w:val="en-US"/>
        </w:rPr>
        <w:t xml:space="preserve"> to use additional funding to purchase support, the </w:t>
      </w:r>
      <w:r w:rsidR="00A40F83">
        <w:rPr>
          <w:rFonts w:ascii="Arial" w:hAnsi="Arial" w:cs="Arial"/>
          <w:bCs/>
          <w:color w:val="000000"/>
          <w:lang w:val="en-US"/>
        </w:rPr>
        <w:t>standard</w:t>
      </w:r>
      <w:r w:rsidR="008655A1">
        <w:rPr>
          <w:rFonts w:ascii="Arial" w:hAnsi="Arial" w:cs="Arial"/>
          <w:bCs/>
          <w:color w:val="000000"/>
          <w:lang w:val="en-US"/>
        </w:rPr>
        <w:t xml:space="preserve"> Manawanui fee will apply to the amount over and above their MSD funding.</w:t>
      </w:r>
    </w:p>
    <w:p w:rsidR="005762CA" w:rsidRDefault="005762CA" w:rsidP="005D4F05">
      <w:p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color w:val="000000"/>
          <w:lang w:val="en-US"/>
        </w:rPr>
      </w:pPr>
    </w:p>
    <w:p w:rsidR="005762CA" w:rsidRDefault="005762CA" w:rsidP="005D4F05">
      <w:p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 xml:space="preserve">Use of the Third Party </w:t>
      </w:r>
      <w:r w:rsidR="00496E36">
        <w:rPr>
          <w:rFonts w:ascii="Arial" w:hAnsi="Arial" w:cs="Arial"/>
          <w:bCs/>
          <w:color w:val="000000"/>
          <w:lang w:val="en-US"/>
        </w:rPr>
        <w:t xml:space="preserve">Provider </w:t>
      </w:r>
      <w:r>
        <w:rPr>
          <w:rFonts w:ascii="Arial" w:hAnsi="Arial" w:cs="Arial"/>
          <w:bCs/>
          <w:color w:val="000000"/>
          <w:lang w:val="en-US"/>
        </w:rPr>
        <w:t>Payment Agreement will need to be authorized by Richard Buchanan – Manager of Provider Relationships and Personalised Funding before being able to be activated by Manawanui.</w:t>
      </w:r>
    </w:p>
    <w:p w:rsidR="00C96455" w:rsidRPr="00C96455" w:rsidRDefault="00C96455" w:rsidP="005D4F05">
      <w:p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color w:val="000000"/>
          <w:lang w:val="en-US"/>
        </w:rPr>
      </w:pPr>
    </w:p>
    <w:p w:rsidR="005D4F05" w:rsidRPr="005D4F05" w:rsidRDefault="005D4F05" w:rsidP="005D4F05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 xml:space="preserve">If you have any questions relating to this memo, please contact Richard Buchanan at </w:t>
      </w:r>
      <w:hyperlink r:id="rId8" w:history="1">
        <w:r w:rsidRPr="005B3873">
          <w:rPr>
            <w:rStyle w:val="Hyperlink"/>
            <w:rFonts w:ascii="Arial" w:hAnsi="Arial" w:cs="Arial"/>
            <w:bCs/>
            <w:lang w:val="en-US"/>
          </w:rPr>
          <w:t>richard@eglives.co.nz</w:t>
        </w:r>
      </w:hyperlink>
      <w:r>
        <w:rPr>
          <w:rFonts w:ascii="Arial" w:hAnsi="Arial" w:cs="Arial"/>
          <w:bCs/>
          <w:color w:val="000000"/>
          <w:lang w:val="en-US"/>
        </w:rPr>
        <w:t xml:space="preserve"> </w:t>
      </w:r>
    </w:p>
    <w:p w:rsidR="00F829F6" w:rsidRPr="00F113EF" w:rsidRDefault="00F829F6" w:rsidP="00F113EF"/>
    <w:sectPr w:rsidR="00F829F6" w:rsidRPr="00F113E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18E" w:rsidRDefault="006D218E" w:rsidP="00F5427F">
      <w:r>
        <w:separator/>
      </w:r>
    </w:p>
  </w:endnote>
  <w:endnote w:type="continuationSeparator" w:id="0">
    <w:p w:rsidR="006D218E" w:rsidRDefault="006D218E" w:rsidP="00F5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18E" w:rsidRDefault="006D218E" w:rsidP="00F5427F">
      <w:r>
        <w:separator/>
      </w:r>
    </w:p>
  </w:footnote>
  <w:footnote w:type="continuationSeparator" w:id="0">
    <w:p w:rsidR="006D218E" w:rsidRDefault="006D218E" w:rsidP="00F5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98D" w:rsidRDefault="00AD3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0A1BD2"/>
    <w:multiLevelType w:val="hybridMultilevel"/>
    <w:tmpl w:val="DFA69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E1A7930"/>
    <w:multiLevelType w:val="hybridMultilevel"/>
    <w:tmpl w:val="55725AFE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9B7CA5"/>
    <w:multiLevelType w:val="hybridMultilevel"/>
    <w:tmpl w:val="552E3C18"/>
    <w:lvl w:ilvl="0" w:tplc="14090017">
      <w:start w:val="1"/>
      <w:numFmt w:val="lowerLetter"/>
      <w:lvlText w:val="%1)"/>
      <w:lvlJc w:val="left"/>
      <w:pPr>
        <w:ind w:left="780" w:hanging="360"/>
      </w:pPr>
    </w:lvl>
    <w:lvl w:ilvl="1" w:tplc="14090019" w:tentative="1">
      <w:start w:val="1"/>
      <w:numFmt w:val="lowerLetter"/>
      <w:lvlText w:val="%2."/>
      <w:lvlJc w:val="left"/>
      <w:pPr>
        <w:ind w:left="1500" w:hanging="360"/>
      </w:pPr>
    </w:lvl>
    <w:lvl w:ilvl="2" w:tplc="1409001B" w:tentative="1">
      <w:start w:val="1"/>
      <w:numFmt w:val="lowerRoman"/>
      <w:lvlText w:val="%3."/>
      <w:lvlJc w:val="right"/>
      <w:pPr>
        <w:ind w:left="2220" w:hanging="180"/>
      </w:pPr>
    </w:lvl>
    <w:lvl w:ilvl="3" w:tplc="1409000F" w:tentative="1">
      <w:start w:val="1"/>
      <w:numFmt w:val="decimal"/>
      <w:lvlText w:val="%4."/>
      <w:lvlJc w:val="left"/>
      <w:pPr>
        <w:ind w:left="2940" w:hanging="360"/>
      </w:pPr>
    </w:lvl>
    <w:lvl w:ilvl="4" w:tplc="14090019" w:tentative="1">
      <w:start w:val="1"/>
      <w:numFmt w:val="lowerLetter"/>
      <w:lvlText w:val="%5."/>
      <w:lvlJc w:val="left"/>
      <w:pPr>
        <w:ind w:left="3660" w:hanging="360"/>
      </w:pPr>
    </w:lvl>
    <w:lvl w:ilvl="5" w:tplc="1409001B" w:tentative="1">
      <w:start w:val="1"/>
      <w:numFmt w:val="lowerRoman"/>
      <w:lvlText w:val="%6."/>
      <w:lvlJc w:val="right"/>
      <w:pPr>
        <w:ind w:left="4380" w:hanging="180"/>
      </w:pPr>
    </w:lvl>
    <w:lvl w:ilvl="6" w:tplc="1409000F" w:tentative="1">
      <w:start w:val="1"/>
      <w:numFmt w:val="decimal"/>
      <w:lvlText w:val="%7."/>
      <w:lvlJc w:val="left"/>
      <w:pPr>
        <w:ind w:left="5100" w:hanging="360"/>
      </w:pPr>
    </w:lvl>
    <w:lvl w:ilvl="7" w:tplc="14090019" w:tentative="1">
      <w:start w:val="1"/>
      <w:numFmt w:val="lowerLetter"/>
      <w:lvlText w:val="%8."/>
      <w:lvlJc w:val="left"/>
      <w:pPr>
        <w:ind w:left="5820" w:hanging="360"/>
      </w:pPr>
    </w:lvl>
    <w:lvl w:ilvl="8" w:tplc="1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399074F"/>
    <w:multiLevelType w:val="hybridMultilevel"/>
    <w:tmpl w:val="79C291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6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E6D44EF"/>
    <w:multiLevelType w:val="hybridMultilevel"/>
    <w:tmpl w:val="02E8CAC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F">
      <w:start w:val="1"/>
      <w:numFmt w:val="decimal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F0553E"/>
    <w:multiLevelType w:val="multilevel"/>
    <w:tmpl w:val="F36AC6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7"/>
  </w:num>
  <w:num w:numId="7">
    <w:abstractNumId w:val="26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2"/>
  </w:num>
  <w:num w:numId="12">
    <w:abstractNumId w:val="9"/>
  </w:num>
  <w:num w:numId="13">
    <w:abstractNumId w:val="10"/>
  </w:num>
  <w:num w:numId="14">
    <w:abstractNumId w:val="21"/>
  </w:num>
  <w:num w:numId="15">
    <w:abstractNumId w:val="13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7"/>
  </w:num>
  <w:num w:numId="25">
    <w:abstractNumId w:val="29"/>
  </w:num>
  <w:num w:numId="26">
    <w:abstractNumId w:val="31"/>
  </w:num>
  <w:num w:numId="27">
    <w:abstractNumId w:val="27"/>
  </w:num>
  <w:num w:numId="28">
    <w:abstractNumId w:val="19"/>
  </w:num>
  <w:num w:numId="29">
    <w:abstractNumId w:val="11"/>
  </w:num>
  <w:num w:numId="30">
    <w:abstractNumId w:val="20"/>
  </w:num>
  <w:num w:numId="31">
    <w:abstractNumId w:val="32"/>
  </w:num>
  <w:num w:numId="32">
    <w:abstractNumId w:val="24"/>
  </w:num>
  <w:num w:numId="33">
    <w:abstractNumId w:val="22"/>
  </w:num>
  <w:num w:numId="34">
    <w:abstractNumId w:val="28"/>
  </w:num>
  <w:num w:numId="35">
    <w:abstractNumId w:val="30"/>
  </w:num>
  <w:num w:numId="36">
    <w:abstractNumId w:val="16"/>
  </w:num>
  <w:num w:numId="37">
    <w:abstractNumId w:val="2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5E"/>
    <w:rsid w:val="00000B4C"/>
    <w:rsid w:val="00005BBE"/>
    <w:rsid w:val="000106D0"/>
    <w:rsid w:val="00034336"/>
    <w:rsid w:val="00037CB0"/>
    <w:rsid w:val="00052753"/>
    <w:rsid w:val="000A576B"/>
    <w:rsid w:val="000E0560"/>
    <w:rsid w:val="000E3BB9"/>
    <w:rsid w:val="00106AED"/>
    <w:rsid w:val="001C788E"/>
    <w:rsid w:val="001D3744"/>
    <w:rsid w:val="00200553"/>
    <w:rsid w:val="002023F2"/>
    <w:rsid w:val="00213DA6"/>
    <w:rsid w:val="00216302"/>
    <w:rsid w:val="00236D2D"/>
    <w:rsid w:val="002378B6"/>
    <w:rsid w:val="00245A2B"/>
    <w:rsid w:val="002600CC"/>
    <w:rsid w:val="002C1FEB"/>
    <w:rsid w:val="002D1C62"/>
    <w:rsid w:val="002D367B"/>
    <w:rsid w:val="00354EC2"/>
    <w:rsid w:val="00372413"/>
    <w:rsid w:val="00387D4D"/>
    <w:rsid w:val="00391558"/>
    <w:rsid w:val="00397220"/>
    <w:rsid w:val="003B0A38"/>
    <w:rsid w:val="003B13A3"/>
    <w:rsid w:val="003D4596"/>
    <w:rsid w:val="003E1EAB"/>
    <w:rsid w:val="003E3722"/>
    <w:rsid w:val="004227ED"/>
    <w:rsid w:val="00445BCE"/>
    <w:rsid w:val="00454F25"/>
    <w:rsid w:val="004710B8"/>
    <w:rsid w:val="00496E36"/>
    <w:rsid w:val="004E7F53"/>
    <w:rsid w:val="005114D8"/>
    <w:rsid w:val="00533E65"/>
    <w:rsid w:val="0056681E"/>
    <w:rsid w:val="00572AA9"/>
    <w:rsid w:val="005762CA"/>
    <w:rsid w:val="00595906"/>
    <w:rsid w:val="005B11F9"/>
    <w:rsid w:val="005D4F05"/>
    <w:rsid w:val="005F3A7D"/>
    <w:rsid w:val="00631D73"/>
    <w:rsid w:val="006B19BD"/>
    <w:rsid w:val="006D218E"/>
    <w:rsid w:val="007B201A"/>
    <w:rsid w:val="007C2143"/>
    <w:rsid w:val="007C7AAE"/>
    <w:rsid w:val="007F3ACD"/>
    <w:rsid w:val="0080133F"/>
    <w:rsid w:val="0080498F"/>
    <w:rsid w:val="00860654"/>
    <w:rsid w:val="008655A1"/>
    <w:rsid w:val="00903467"/>
    <w:rsid w:val="00906EAA"/>
    <w:rsid w:val="0091765E"/>
    <w:rsid w:val="009377E9"/>
    <w:rsid w:val="00970DD2"/>
    <w:rsid w:val="009D15F1"/>
    <w:rsid w:val="009D2B10"/>
    <w:rsid w:val="00A2199C"/>
    <w:rsid w:val="00A40F83"/>
    <w:rsid w:val="00A43896"/>
    <w:rsid w:val="00A6244E"/>
    <w:rsid w:val="00AD398D"/>
    <w:rsid w:val="00AF695E"/>
    <w:rsid w:val="00B17D7F"/>
    <w:rsid w:val="00B41635"/>
    <w:rsid w:val="00B5357A"/>
    <w:rsid w:val="00BE7801"/>
    <w:rsid w:val="00C221CF"/>
    <w:rsid w:val="00C503A7"/>
    <w:rsid w:val="00C5215F"/>
    <w:rsid w:val="00C83C36"/>
    <w:rsid w:val="00C96455"/>
    <w:rsid w:val="00CB4A28"/>
    <w:rsid w:val="00CD619F"/>
    <w:rsid w:val="00D0022E"/>
    <w:rsid w:val="00D34EA0"/>
    <w:rsid w:val="00D45747"/>
    <w:rsid w:val="00D74FD9"/>
    <w:rsid w:val="00DD6907"/>
    <w:rsid w:val="00DD7526"/>
    <w:rsid w:val="00E671C3"/>
    <w:rsid w:val="00E7569C"/>
    <w:rsid w:val="00E90142"/>
    <w:rsid w:val="00E9269E"/>
    <w:rsid w:val="00E95695"/>
    <w:rsid w:val="00EF4FD0"/>
    <w:rsid w:val="00F06EE8"/>
    <w:rsid w:val="00F07349"/>
    <w:rsid w:val="00F113EF"/>
    <w:rsid w:val="00F126F3"/>
    <w:rsid w:val="00F22AE5"/>
    <w:rsid w:val="00F5427F"/>
    <w:rsid w:val="00F829C0"/>
    <w:rsid w:val="00F829F6"/>
    <w:rsid w:val="00FC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3AFEE0-0B62-420D-84E3-54923DAF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Number" w:semiHidden="1" w:unhideWhenUsed="1"/>
    <w:lsdException w:name="List 2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F695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/>
      <w:b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2"/>
    </w:rPr>
  </w:style>
  <w:style w:type="paragraph" w:styleId="EnvelopeReturn">
    <w:name w:val="envelope return"/>
    <w:basedOn w:val="Normal"/>
    <w:uiPriority w:val="99"/>
    <w:semiHidden/>
    <w:rsid w:val="003E3722"/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</w:style>
  <w:style w:type="paragraph" w:styleId="PlainText">
    <w:name w:val="Plain Text"/>
    <w:basedOn w:val="Normal"/>
    <w:link w:val="PlainTextChar"/>
    <w:uiPriority w:val="99"/>
    <w:semiHidden/>
    <w:rsid w:val="003E3722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customStyle="1" w:styleId="TableText">
    <w:name w:val="TableText"/>
    <w:basedOn w:val="Normal"/>
    <w:rsid w:val="00BE7801"/>
    <w:pPr>
      <w:spacing w:before="120" w:after="120"/>
    </w:pPr>
    <w:rPr>
      <w:rFonts w:ascii="Arial" w:hAnsi="Arial" w:cs="Times"/>
      <w:lang w:eastAsia="en-GB"/>
    </w:rPr>
  </w:style>
  <w:style w:type="character" w:styleId="Hyperlink">
    <w:name w:val="Hyperlink"/>
    <w:basedOn w:val="DefaultParagraphFont"/>
    <w:uiPriority w:val="99"/>
    <w:semiHidden/>
    <w:rsid w:val="005D4F05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21C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1CF"/>
    <w:rPr>
      <w:rFonts w:ascii="Times New Roman" w:eastAsia="Times New Roman" w:hAnsi="Times New Roman" w:cs="Arial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F542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427F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semiHidden/>
    <w:rsid w:val="003D45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5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@eglives.co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373F4-BCAF-456C-B535-29302B80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Buchanan</dc:creator>
  <cp:lastModifiedBy>ImogenElise</cp:lastModifiedBy>
  <cp:revision>2</cp:revision>
  <cp:lastPrinted>2015-04-27T21:54:00Z</cp:lastPrinted>
  <dcterms:created xsi:type="dcterms:W3CDTF">2016-03-04T04:17:00Z</dcterms:created>
  <dcterms:modified xsi:type="dcterms:W3CDTF">2016-03-04T04:17:00Z</dcterms:modified>
</cp:coreProperties>
</file>