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bottom w:val="single" w:sz="12" w:space="0" w:color="auto"/>
        </w:tblBorders>
        <w:tblLayout w:type="fixed"/>
        <w:tblCellMar>
          <w:left w:w="0" w:type="dxa"/>
          <w:right w:w="0" w:type="dxa"/>
        </w:tblCellMar>
        <w:tblLook w:val="01E0" w:firstRow="1" w:lastRow="1" w:firstColumn="1" w:lastColumn="1" w:noHBand="0" w:noVBand="0"/>
      </w:tblPr>
      <w:tblGrid>
        <w:gridCol w:w="7088"/>
        <w:gridCol w:w="2551"/>
      </w:tblGrid>
      <w:tr w:rsidR="00D56D8D" w:rsidRPr="00DD748F" w14:paraId="7B9ABC20" w14:textId="77777777" w:rsidTr="007B0128">
        <w:trPr>
          <w:cantSplit/>
        </w:trPr>
        <w:tc>
          <w:tcPr>
            <w:tcW w:w="7088" w:type="dxa"/>
            <w:shd w:val="clear" w:color="auto" w:fill="auto"/>
            <w:vAlign w:val="bottom"/>
          </w:tcPr>
          <w:p w14:paraId="6075F872" w14:textId="77777777" w:rsidR="00F20FB1" w:rsidRDefault="00F20FB1" w:rsidP="00F20FB1">
            <w:pPr>
              <w:pStyle w:val="Title"/>
            </w:pPr>
            <w:bookmarkStart w:id="0" w:name="_GoBack"/>
            <w:bookmarkEnd w:id="0"/>
            <w:r>
              <w:t xml:space="preserve">The Purchasing Approval Process </w:t>
            </w:r>
          </w:p>
          <w:p w14:paraId="28C908D4" w14:textId="77777777" w:rsidR="008348B7" w:rsidRPr="00F20FB1" w:rsidRDefault="00C939A5" w:rsidP="00F20FB1">
            <w:pPr>
              <w:pStyle w:val="Title"/>
              <w:rPr>
                <w:sz w:val="32"/>
                <w:szCs w:val="32"/>
              </w:rPr>
            </w:pPr>
            <w:r w:rsidRPr="00F20FB1">
              <w:rPr>
                <w:sz w:val="32"/>
                <w:szCs w:val="32"/>
              </w:rPr>
              <w:t xml:space="preserve">Ministry of Health Purchasing </w:t>
            </w:r>
            <w:r w:rsidR="00F20FB1" w:rsidRPr="00F20FB1">
              <w:rPr>
                <w:sz w:val="32"/>
                <w:szCs w:val="32"/>
              </w:rPr>
              <w:t>Guidelines</w:t>
            </w:r>
            <w:r w:rsidRPr="00F20FB1">
              <w:rPr>
                <w:sz w:val="32"/>
                <w:szCs w:val="32"/>
              </w:rPr>
              <w:t xml:space="preserve"> </w:t>
            </w:r>
          </w:p>
        </w:tc>
        <w:tc>
          <w:tcPr>
            <w:tcW w:w="2551" w:type="dxa"/>
            <w:shd w:val="clear" w:color="auto" w:fill="auto"/>
            <w:vAlign w:val="bottom"/>
          </w:tcPr>
          <w:p w14:paraId="43647792" w14:textId="77777777" w:rsidR="00CD373C" w:rsidRPr="00DD748F" w:rsidRDefault="00CD373C" w:rsidP="0092659B">
            <w:pPr>
              <w:spacing w:after="120"/>
              <w:jc w:val="right"/>
            </w:pPr>
          </w:p>
          <w:p w14:paraId="004BEB9E" w14:textId="77777777" w:rsidR="00423830" w:rsidRPr="00DD748F" w:rsidRDefault="00C939A5" w:rsidP="00F20FB1">
            <w:pPr>
              <w:spacing w:after="120"/>
              <w:jc w:val="right"/>
              <w:rPr>
                <w:color w:val="002B7F"/>
                <w:sz w:val="28"/>
                <w:szCs w:val="28"/>
              </w:rPr>
            </w:pPr>
            <w:r>
              <w:rPr>
                <w:sz w:val="28"/>
                <w:szCs w:val="28"/>
              </w:rPr>
              <w:br/>
            </w:r>
            <w:r w:rsidR="00F20FB1">
              <w:rPr>
                <w:sz w:val="28"/>
                <w:szCs w:val="28"/>
              </w:rPr>
              <w:t>March</w:t>
            </w:r>
            <w:r>
              <w:rPr>
                <w:sz w:val="28"/>
                <w:szCs w:val="28"/>
              </w:rPr>
              <w:t xml:space="preserve"> 2018</w:t>
            </w:r>
          </w:p>
        </w:tc>
      </w:tr>
    </w:tbl>
    <w:p w14:paraId="7A300C83" w14:textId="77777777" w:rsidR="008348B7" w:rsidRDefault="008348B7" w:rsidP="007B0128"/>
    <w:p w14:paraId="205CF39B" w14:textId="77777777" w:rsidR="00C939A5" w:rsidRDefault="00C939A5" w:rsidP="00C939A5">
      <w:r>
        <w:t>This document explains the approval process</w:t>
      </w:r>
      <w:r w:rsidR="00F20FB1">
        <w:t xml:space="preserve"> to</w:t>
      </w:r>
      <w:r>
        <w:t xml:space="preserve"> follow when disabled people</w:t>
      </w:r>
      <w:r w:rsidR="00974A87">
        <w:t xml:space="preserve"> and </w:t>
      </w:r>
      <w:r>
        <w:t xml:space="preserve">providers </w:t>
      </w:r>
      <w:r w:rsidR="00974A87">
        <w:t xml:space="preserve">(on behalf of disabled people) </w:t>
      </w:r>
      <w:r>
        <w:t>buy disability supports (supports)</w:t>
      </w:r>
      <w:r w:rsidR="00F20FB1">
        <w:t>,</w:t>
      </w:r>
      <w:r>
        <w:rPr>
          <w:rStyle w:val="FootnoteReference"/>
        </w:rPr>
        <w:footnoteReference w:id="1"/>
      </w:r>
      <w:r w:rsidR="00F20FB1">
        <w:t xml:space="preserve"> using the </w:t>
      </w:r>
      <w:r w:rsidR="00F20FB1" w:rsidRPr="00974A87">
        <w:rPr>
          <w:i/>
        </w:rPr>
        <w:t>Ministry of Health Purchasing Guidelines</w:t>
      </w:r>
      <w:r w:rsidR="00F20FB1">
        <w:t>.</w:t>
      </w:r>
    </w:p>
    <w:p w14:paraId="28FA3815" w14:textId="77777777" w:rsidR="00FA46AD" w:rsidRDefault="00FA46AD" w:rsidP="00C939A5"/>
    <w:p w14:paraId="22464F01" w14:textId="77777777" w:rsidR="00C939A5" w:rsidRDefault="00F20FB1" w:rsidP="00974A87">
      <w:pPr>
        <w:pStyle w:val="Heading2"/>
        <w:spacing w:before="120"/>
      </w:pPr>
      <w:r w:rsidRPr="00947FD8">
        <w:t>Using the Enabling</w:t>
      </w:r>
      <w:r>
        <w:t xml:space="preserve"> Good Lives </w:t>
      </w:r>
      <w:r w:rsidR="00C939A5">
        <w:t>principles</w:t>
      </w:r>
    </w:p>
    <w:p w14:paraId="7E5196E0" w14:textId="70E08EE8" w:rsidR="00C939A5" w:rsidRDefault="00F20FB1" w:rsidP="00C939A5">
      <w:r>
        <w:t>Use t</w:t>
      </w:r>
      <w:r w:rsidR="00C939A5">
        <w:t xml:space="preserve">he Enabling Good Lives Principles when </w:t>
      </w:r>
      <w:r>
        <w:t xml:space="preserve">thinking about </w:t>
      </w:r>
      <w:r w:rsidR="00C939A5">
        <w:t>how people buy supports.</w:t>
      </w:r>
    </w:p>
    <w:p w14:paraId="1B161473" w14:textId="6D219F84" w:rsidR="00C939A5" w:rsidRDefault="00C939A5" w:rsidP="00655AFE">
      <w:pPr>
        <w:pStyle w:val="Bullet"/>
      </w:pPr>
      <w:r>
        <w:t>Self-determination: People have control over what supports they buy.</w:t>
      </w:r>
    </w:p>
    <w:p w14:paraId="391B4A08" w14:textId="750FDF50" w:rsidR="00C939A5" w:rsidRDefault="00C939A5" w:rsidP="00655AFE">
      <w:pPr>
        <w:pStyle w:val="Bullet"/>
      </w:pPr>
      <w:proofErr w:type="spellStart"/>
      <w:r>
        <w:t>Mana</w:t>
      </w:r>
      <w:proofErr w:type="spellEnd"/>
      <w:r>
        <w:t xml:space="preserve"> enhancing: The abilities and contributions of people and their families are recognised and</w:t>
      </w:r>
      <w:r w:rsidR="00F20FB1">
        <w:t xml:space="preserve"> </w:t>
      </w:r>
      <w:r>
        <w:t>respected when any support purchase is approved.</w:t>
      </w:r>
    </w:p>
    <w:p w14:paraId="66F3EEF8" w14:textId="7CF6ECB5" w:rsidR="00C939A5" w:rsidRDefault="00C939A5" w:rsidP="00655AFE">
      <w:pPr>
        <w:pStyle w:val="Bullet"/>
      </w:pPr>
      <w:r>
        <w:t>Easy to use: Any process that governs how people access funding must be easy to use.</w:t>
      </w:r>
    </w:p>
    <w:p w14:paraId="372386AC" w14:textId="77777777" w:rsidR="00FA46AD" w:rsidRDefault="00FA46AD" w:rsidP="00655AFE">
      <w:pPr>
        <w:pStyle w:val="Bullet"/>
        <w:numPr>
          <w:ilvl w:val="0"/>
          <w:numId w:val="0"/>
        </w:numPr>
        <w:ind w:left="284"/>
      </w:pPr>
    </w:p>
    <w:p w14:paraId="68F24182" w14:textId="77777777" w:rsidR="002E37AC" w:rsidRDefault="00947FD8" w:rsidP="002050CC">
      <w:pPr>
        <w:pStyle w:val="Heading2"/>
      </w:pPr>
      <w:r w:rsidRPr="00974A87">
        <w:t>T</w:t>
      </w:r>
      <w:r w:rsidR="00F20FB1" w:rsidRPr="00974A87">
        <w:t>he approval</w:t>
      </w:r>
      <w:r w:rsidR="00C939A5">
        <w:t xml:space="preserve"> process</w:t>
      </w:r>
      <w:r w:rsidR="00327E98" w:rsidDel="00F20FB1">
        <w:t xml:space="preserve"> </w:t>
      </w:r>
    </w:p>
    <w:p w14:paraId="30C80DF1" w14:textId="77777777" w:rsidR="00C939A5" w:rsidRDefault="00C939A5" w:rsidP="007B0128">
      <w:pPr>
        <w:spacing w:before="240"/>
        <w:ind w:left="567" w:hanging="567"/>
      </w:pPr>
      <w:r>
        <w:t>1.</w:t>
      </w:r>
      <w:r>
        <w:tab/>
        <w:t>A person (or their family/</w:t>
      </w:r>
      <w:proofErr w:type="spellStart"/>
      <w:r>
        <w:t>whānau</w:t>
      </w:r>
      <w:proofErr w:type="spellEnd"/>
      <w:r>
        <w:t xml:space="preserve"> or nominated agent) chooses how they </w:t>
      </w:r>
      <w:r w:rsidR="00F20FB1">
        <w:t xml:space="preserve">want </w:t>
      </w:r>
      <w:r>
        <w:t xml:space="preserve">to be supported and what they </w:t>
      </w:r>
      <w:r w:rsidR="00F20FB1">
        <w:t xml:space="preserve">want </w:t>
      </w:r>
      <w:r>
        <w:t xml:space="preserve">to purchase with government disability support </w:t>
      </w:r>
      <w:proofErr w:type="gramStart"/>
      <w:r>
        <w:t>services</w:t>
      </w:r>
      <w:proofErr w:type="gramEnd"/>
      <w:r>
        <w:t xml:space="preserve"> funding.</w:t>
      </w:r>
    </w:p>
    <w:p w14:paraId="05CB97BE" w14:textId="77777777" w:rsidR="00C939A5" w:rsidRDefault="00C939A5" w:rsidP="00C939A5">
      <w:pPr>
        <w:spacing w:before="120"/>
        <w:ind w:left="567"/>
      </w:pPr>
      <w:r>
        <w:t xml:space="preserve">The person needs to </w:t>
      </w:r>
      <w:r w:rsidR="00F20FB1">
        <w:t>think about</w:t>
      </w:r>
      <w:r w:rsidR="002050CC">
        <w:t xml:space="preserve"> </w:t>
      </w:r>
      <w:r>
        <w:t xml:space="preserve">how each purchase meets the </w:t>
      </w:r>
      <w:r w:rsidRPr="002050CC">
        <w:rPr>
          <w:i/>
        </w:rPr>
        <w:t>Purchasing Guidelines</w:t>
      </w:r>
      <w:r>
        <w:t xml:space="preserve"> before they make purchases. The person can use government disability support services funding to buy the support if they reasonably believe that the support meets the </w:t>
      </w:r>
      <w:r w:rsidRPr="002050CC">
        <w:rPr>
          <w:i/>
        </w:rPr>
        <w:t>Purchasing Guidelines</w:t>
      </w:r>
      <w:r>
        <w:t>.</w:t>
      </w:r>
    </w:p>
    <w:p w14:paraId="6E89088C" w14:textId="77777777" w:rsidR="00C939A5" w:rsidRDefault="00C939A5" w:rsidP="00C939A5">
      <w:pPr>
        <w:spacing w:before="240"/>
        <w:ind w:left="567" w:hanging="567"/>
      </w:pPr>
      <w:r>
        <w:t>2.</w:t>
      </w:r>
      <w:r>
        <w:tab/>
        <w:t xml:space="preserve">If the person is unsure whether a support meets the </w:t>
      </w:r>
      <w:r w:rsidRPr="002050CC">
        <w:rPr>
          <w:i/>
        </w:rPr>
        <w:t>Purchasing Guidelines</w:t>
      </w:r>
      <w:r>
        <w:t xml:space="preserve">, they (or their provider, Independent Facilitator or </w:t>
      </w:r>
      <w:r w:rsidR="00F20FB1">
        <w:t>funding m</w:t>
      </w:r>
      <w:r>
        <w:t xml:space="preserve">anager acting on their behalf) can </w:t>
      </w:r>
      <w:r w:rsidR="00F20FB1">
        <w:t xml:space="preserve">get </w:t>
      </w:r>
      <w:r>
        <w:t xml:space="preserve">advice from a </w:t>
      </w:r>
      <w:r w:rsidR="00F20FB1">
        <w:t>purchasing a</w:t>
      </w:r>
      <w:r>
        <w:t>dvisor.</w:t>
      </w:r>
    </w:p>
    <w:p w14:paraId="1A19C95D" w14:textId="77777777" w:rsidR="00C939A5" w:rsidRDefault="00C939A5" w:rsidP="00C939A5">
      <w:pPr>
        <w:spacing w:before="240"/>
        <w:ind w:left="567" w:hanging="567"/>
      </w:pPr>
      <w:r>
        <w:t>3.</w:t>
      </w:r>
      <w:r>
        <w:tab/>
        <w:t xml:space="preserve">If, after </w:t>
      </w:r>
      <w:r w:rsidR="00327E98">
        <w:t>getting advice from</w:t>
      </w:r>
      <w:r>
        <w:t xml:space="preserve"> a </w:t>
      </w:r>
      <w:r w:rsidR="00327E98">
        <w:t>purchasing advisor</w:t>
      </w:r>
      <w:r>
        <w:t xml:space="preserve">, it is still unclear whether </w:t>
      </w:r>
      <w:r w:rsidR="00327E98">
        <w:t>the</w:t>
      </w:r>
      <w:r>
        <w:t xml:space="preserve"> support meets the </w:t>
      </w:r>
      <w:r w:rsidRPr="002050CC">
        <w:rPr>
          <w:i/>
        </w:rPr>
        <w:t>Purchasing Guidelines</w:t>
      </w:r>
      <w:r>
        <w:t xml:space="preserve">, then the </w:t>
      </w:r>
      <w:r w:rsidR="00327E98">
        <w:t xml:space="preserve">purchasing advisor </w:t>
      </w:r>
      <w:r>
        <w:t>send</w:t>
      </w:r>
      <w:r w:rsidR="00327E98">
        <w:t>s</w:t>
      </w:r>
      <w:r>
        <w:t xml:space="preserve"> a purchasing proposal to the </w:t>
      </w:r>
      <w:r w:rsidR="00327E98">
        <w:t>purchasing review p</w:t>
      </w:r>
      <w:r>
        <w:t xml:space="preserve">anel. </w:t>
      </w:r>
      <w:r w:rsidR="00327E98">
        <w:t>Send a</w:t>
      </w:r>
      <w:r>
        <w:t>ll purchasing proposals in writing.</w:t>
      </w:r>
    </w:p>
    <w:p w14:paraId="6A4EBAD7" w14:textId="77777777" w:rsidR="00C939A5" w:rsidRDefault="00C939A5" w:rsidP="00C939A5">
      <w:pPr>
        <w:spacing w:before="240"/>
        <w:ind w:left="567" w:hanging="567"/>
      </w:pPr>
      <w:r>
        <w:t>4.</w:t>
      </w:r>
      <w:r>
        <w:tab/>
      </w:r>
      <w:r w:rsidR="00327E98">
        <w:t xml:space="preserve">Always refer to </w:t>
      </w:r>
      <w:r>
        <w:t xml:space="preserve">a </w:t>
      </w:r>
      <w:r w:rsidR="00327E98">
        <w:t>p</w:t>
      </w:r>
      <w:r>
        <w:t xml:space="preserve">urchasing </w:t>
      </w:r>
      <w:r w:rsidR="00327E98">
        <w:t>r</w:t>
      </w:r>
      <w:r>
        <w:t xml:space="preserve">eview </w:t>
      </w:r>
      <w:r w:rsidR="00327E98">
        <w:t>p</w:t>
      </w:r>
      <w:r>
        <w:t>anel</w:t>
      </w:r>
      <w:r w:rsidR="00327E98">
        <w:t xml:space="preserve"> if the purchase is:</w:t>
      </w:r>
    </w:p>
    <w:p w14:paraId="6962C3F0" w14:textId="77777777" w:rsidR="00C939A5" w:rsidRDefault="00C939A5" w:rsidP="00C939A5">
      <w:pPr>
        <w:spacing w:before="90"/>
        <w:ind w:left="567"/>
      </w:pPr>
      <w:proofErr w:type="gramStart"/>
      <w:r>
        <w:t>a</w:t>
      </w:r>
      <w:proofErr w:type="gramEnd"/>
      <w:r>
        <w:t>.</w:t>
      </w:r>
      <w:r>
        <w:tab/>
      </w:r>
      <w:r w:rsidR="00327E98">
        <w:t xml:space="preserve">a </w:t>
      </w:r>
      <w:r>
        <w:t>good (not service) with a total value of $5,000 or more</w:t>
      </w:r>
    </w:p>
    <w:p w14:paraId="0D03B55E" w14:textId="77777777" w:rsidR="00C939A5" w:rsidRDefault="00C939A5" w:rsidP="00C939A5">
      <w:pPr>
        <w:spacing w:before="90"/>
        <w:ind w:left="567"/>
      </w:pPr>
      <w:proofErr w:type="gramStart"/>
      <w:r>
        <w:t>b</w:t>
      </w:r>
      <w:proofErr w:type="gramEnd"/>
      <w:r>
        <w:t>.</w:t>
      </w:r>
      <w:r>
        <w:tab/>
      </w:r>
      <w:r w:rsidR="00327E98">
        <w:t>a</w:t>
      </w:r>
      <w:r>
        <w:t xml:space="preserve"> contribution towards a vehicle.</w:t>
      </w:r>
    </w:p>
    <w:p w14:paraId="62518F31" w14:textId="77777777" w:rsidR="00C939A5" w:rsidRDefault="00947FD8" w:rsidP="00C939A5">
      <w:r w:rsidRPr="002E37AC">
        <w:rPr>
          <w:noProof/>
          <w:lang w:eastAsia="en-NZ"/>
        </w:rPr>
        <w:lastRenderedPageBreak/>
        <w:drawing>
          <wp:inline distT="0" distB="0" distL="0" distR="0" wp14:anchorId="5E6CFD53" wp14:editId="301BBACF">
            <wp:extent cx="4359277" cy="3640183"/>
            <wp:effectExtent l="0" t="0" r="3175" b="0"/>
            <wp:docPr id="10" name="Picture 10" descr="Diagram explaining the process for getting approval for funding a support." title="Approval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77515" cy="3655413"/>
                    </a:xfrm>
                    <a:prstGeom prst="rect">
                      <a:avLst/>
                    </a:prstGeom>
                  </pic:spPr>
                </pic:pic>
              </a:graphicData>
            </a:graphic>
          </wp:inline>
        </w:drawing>
      </w:r>
    </w:p>
    <w:p w14:paraId="6DEF45E8" w14:textId="77777777" w:rsidR="00C939A5" w:rsidRDefault="00C939A5" w:rsidP="00C939A5">
      <w:pPr>
        <w:pStyle w:val="Heading2"/>
      </w:pPr>
      <w:r>
        <w:t>Roles</w:t>
      </w:r>
      <w:r w:rsidR="00947FD8">
        <w:t xml:space="preserve"> for decision-making and approval</w:t>
      </w:r>
    </w:p>
    <w:p w14:paraId="0F59BFD5" w14:textId="77777777" w:rsidR="00C939A5" w:rsidRDefault="00C939A5" w:rsidP="00B328C2">
      <w:pPr>
        <w:pStyle w:val="Table"/>
      </w:pPr>
      <w:r>
        <w:t>Table 1: Parties involved in decision-making and approval processes</w:t>
      </w:r>
    </w:p>
    <w:tbl>
      <w:tblPr>
        <w:tblStyle w:val="TableGrid"/>
        <w:tblW w:w="9356" w:type="dxa"/>
        <w:tblInd w:w="5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5"/>
        <w:gridCol w:w="7371"/>
      </w:tblGrid>
      <w:tr w:rsidR="00B328C2" w:rsidRPr="00947FD8" w14:paraId="3A519035" w14:textId="77777777" w:rsidTr="00B328C2">
        <w:trPr>
          <w:cantSplit/>
        </w:trPr>
        <w:tc>
          <w:tcPr>
            <w:tcW w:w="1985" w:type="dxa"/>
          </w:tcPr>
          <w:p w14:paraId="01210D3F" w14:textId="77777777" w:rsidR="00B328C2" w:rsidRPr="002050CC" w:rsidRDefault="00B328C2" w:rsidP="00B328C2">
            <w:pPr>
              <w:pStyle w:val="TableText"/>
              <w:rPr>
                <w:sz w:val="20"/>
                <w:szCs w:val="20"/>
              </w:rPr>
            </w:pPr>
            <w:r w:rsidRPr="002050CC">
              <w:rPr>
                <w:sz w:val="20"/>
                <w:szCs w:val="20"/>
              </w:rPr>
              <w:t>Person</w:t>
            </w:r>
          </w:p>
        </w:tc>
        <w:tc>
          <w:tcPr>
            <w:tcW w:w="7371" w:type="dxa"/>
          </w:tcPr>
          <w:p w14:paraId="6C05EC92" w14:textId="77777777" w:rsidR="00B328C2" w:rsidRPr="002050CC" w:rsidRDefault="00B328C2" w:rsidP="00B328C2">
            <w:pPr>
              <w:pStyle w:val="TableText"/>
              <w:rPr>
                <w:sz w:val="20"/>
                <w:szCs w:val="20"/>
              </w:rPr>
            </w:pPr>
            <w:r w:rsidRPr="002050CC">
              <w:rPr>
                <w:sz w:val="20"/>
                <w:szCs w:val="20"/>
              </w:rPr>
              <w:t>The disabled person with a disability support budget allocation. The person may also be represented by their family/</w:t>
            </w:r>
            <w:proofErr w:type="spellStart"/>
            <w:r w:rsidRPr="002050CC">
              <w:rPr>
                <w:sz w:val="20"/>
                <w:szCs w:val="20"/>
              </w:rPr>
              <w:t>whānau</w:t>
            </w:r>
            <w:proofErr w:type="spellEnd"/>
            <w:r w:rsidRPr="002050CC">
              <w:rPr>
                <w:sz w:val="20"/>
                <w:szCs w:val="20"/>
              </w:rPr>
              <w:t xml:space="preserve"> or a nominated agent, at the person’s request.</w:t>
            </w:r>
          </w:p>
        </w:tc>
      </w:tr>
      <w:tr w:rsidR="00B328C2" w:rsidRPr="00947FD8" w14:paraId="457B5795" w14:textId="77777777" w:rsidTr="00B328C2">
        <w:trPr>
          <w:cantSplit/>
        </w:trPr>
        <w:tc>
          <w:tcPr>
            <w:tcW w:w="1985" w:type="dxa"/>
          </w:tcPr>
          <w:p w14:paraId="6616074F" w14:textId="77777777" w:rsidR="00B328C2" w:rsidRPr="002050CC" w:rsidRDefault="00B328C2" w:rsidP="00B328C2">
            <w:pPr>
              <w:pStyle w:val="TableText"/>
              <w:rPr>
                <w:sz w:val="20"/>
                <w:szCs w:val="20"/>
              </w:rPr>
            </w:pPr>
            <w:r w:rsidRPr="002050CC">
              <w:rPr>
                <w:sz w:val="20"/>
                <w:szCs w:val="20"/>
              </w:rPr>
              <w:t>Family/</w:t>
            </w:r>
            <w:proofErr w:type="spellStart"/>
            <w:r w:rsidRPr="002050CC">
              <w:rPr>
                <w:sz w:val="20"/>
                <w:szCs w:val="20"/>
              </w:rPr>
              <w:t>whānau</w:t>
            </w:r>
            <w:proofErr w:type="spellEnd"/>
          </w:p>
        </w:tc>
        <w:tc>
          <w:tcPr>
            <w:tcW w:w="7371" w:type="dxa"/>
          </w:tcPr>
          <w:p w14:paraId="76235B88" w14:textId="77777777" w:rsidR="00B328C2" w:rsidRPr="002050CC" w:rsidRDefault="00B328C2">
            <w:pPr>
              <w:pStyle w:val="TableText"/>
              <w:rPr>
                <w:sz w:val="20"/>
                <w:szCs w:val="20"/>
              </w:rPr>
            </w:pPr>
            <w:r w:rsidRPr="002050CC">
              <w:rPr>
                <w:sz w:val="20"/>
                <w:szCs w:val="20"/>
              </w:rPr>
              <w:t>Those most closely involved in assisting the person with care and decision</w:t>
            </w:r>
            <w:r w:rsidR="00947FD8">
              <w:rPr>
                <w:sz w:val="20"/>
                <w:szCs w:val="20"/>
              </w:rPr>
              <w:t>-</w:t>
            </w:r>
            <w:r w:rsidRPr="002050CC">
              <w:rPr>
                <w:sz w:val="20"/>
                <w:szCs w:val="20"/>
              </w:rPr>
              <w:t>making.</w:t>
            </w:r>
          </w:p>
        </w:tc>
      </w:tr>
      <w:tr w:rsidR="00B328C2" w:rsidRPr="00947FD8" w14:paraId="62DA14D0" w14:textId="77777777" w:rsidTr="00B328C2">
        <w:trPr>
          <w:cantSplit/>
        </w:trPr>
        <w:tc>
          <w:tcPr>
            <w:tcW w:w="1985" w:type="dxa"/>
          </w:tcPr>
          <w:p w14:paraId="27DBCD9E" w14:textId="77777777" w:rsidR="00B328C2" w:rsidRPr="002050CC" w:rsidRDefault="00B328C2" w:rsidP="00B328C2">
            <w:pPr>
              <w:pStyle w:val="TableText"/>
              <w:rPr>
                <w:sz w:val="20"/>
                <w:szCs w:val="20"/>
              </w:rPr>
            </w:pPr>
            <w:r w:rsidRPr="002050CC">
              <w:rPr>
                <w:sz w:val="20"/>
                <w:szCs w:val="20"/>
              </w:rPr>
              <w:t>Nominated agent</w:t>
            </w:r>
          </w:p>
        </w:tc>
        <w:tc>
          <w:tcPr>
            <w:tcW w:w="7371" w:type="dxa"/>
          </w:tcPr>
          <w:p w14:paraId="366BDBC0" w14:textId="77777777" w:rsidR="00B328C2" w:rsidRPr="002050CC" w:rsidRDefault="00B328C2" w:rsidP="00B328C2">
            <w:pPr>
              <w:pStyle w:val="TableText"/>
              <w:rPr>
                <w:sz w:val="20"/>
                <w:szCs w:val="20"/>
              </w:rPr>
            </w:pPr>
            <w:r w:rsidRPr="002050CC">
              <w:rPr>
                <w:sz w:val="20"/>
                <w:szCs w:val="20"/>
              </w:rPr>
              <w:t>An individual (chosen by the person) who is most closely involved in helping the person with their care and decision making and is able to make decisions on behalf of the person that relate to managing the person’s supports. This individual will be identified through the assessment process.</w:t>
            </w:r>
          </w:p>
        </w:tc>
      </w:tr>
      <w:tr w:rsidR="00B328C2" w:rsidRPr="00947FD8" w14:paraId="44BF56CC" w14:textId="77777777" w:rsidTr="00B328C2">
        <w:trPr>
          <w:cantSplit/>
        </w:trPr>
        <w:tc>
          <w:tcPr>
            <w:tcW w:w="1985" w:type="dxa"/>
          </w:tcPr>
          <w:p w14:paraId="635D5503" w14:textId="77777777" w:rsidR="00B328C2" w:rsidRPr="002050CC" w:rsidRDefault="00B328C2" w:rsidP="00B328C2">
            <w:pPr>
              <w:pStyle w:val="TableText"/>
              <w:rPr>
                <w:sz w:val="20"/>
                <w:szCs w:val="20"/>
              </w:rPr>
            </w:pPr>
            <w:r w:rsidRPr="002050CC">
              <w:rPr>
                <w:sz w:val="20"/>
                <w:szCs w:val="20"/>
              </w:rPr>
              <w:t>Provider</w:t>
            </w:r>
          </w:p>
        </w:tc>
        <w:tc>
          <w:tcPr>
            <w:tcW w:w="7371" w:type="dxa"/>
          </w:tcPr>
          <w:p w14:paraId="0E93520C" w14:textId="77777777" w:rsidR="00B328C2" w:rsidRPr="002050CC" w:rsidRDefault="00B328C2" w:rsidP="00B328C2">
            <w:pPr>
              <w:pStyle w:val="TableText"/>
              <w:rPr>
                <w:sz w:val="20"/>
                <w:szCs w:val="20"/>
              </w:rPr>
            </w:pPr>
            <w:r w:rsidRPr="002050CC">
              <w:rPr>
                <w:sz w:val="20"/>
                <w:szCs w:val="20"/>
              </w:rPr>
              <w:t>An organisation who offers services to help a person with a disability. This may include Flexible Disability Supports provider, Host provider or Choice in Community Living provider.</w:t>
            </w:r>
          </w:p>
        </w:tc>
      </w:tr>
      <w:tr w:rsidR="00B328C2" w:rsidRPr="00947FD8" w14:paraId="3D8D1002" w14:textId="77777777" w:rsidTr="00B328C2">
        <w:trPr>
          <w:cantSplit/>
        </w:trPr>
        <w:tc>
          <w:tcPr>
            <w:tcW w:w="1985" w:type="dxa"/>
          </w:tcPr>
          <w:p w14:paraId="7B71B20A" w14:textId="77777777" w:rsidR="00B328C2" w:rsidRPr="002050CC" w:rsidRDefault="00B328C2" w:rsidP="00B328C2">
            <w:pPr>
              <w:pStyle w:val="TableText"/>
              <w:rPr>
                <w:sz w:val="20"/>
                <w:szCs w:val="20"/>
              </w:rPr>
            </w:pPr>
            <w:r w:rsidRPr="002050CC">
              <w:rPr>
                <w:sz w:val="20"/>
                <w:szCs w:val="20"/>
              </w:rPr>
              <w:t>Independent Facilitator</w:t>
            </w:r>
          </w:p>
        </w:tc>
        <w:tc>
          <w:tcPr>
            <w:tcW w:w="7371" w:type="dxa"/>
          </w:tcPr>
          <w:p w14:paraId="53C812FB" w14:textId="77777777" w:rsidR="00B328C2" w:rsidRPr="002050CC" w:rsidRDefault="00B328C2" w:rsidP="00B328C2">
            <w:pPr>
              <w:pStyle w:val="TableText"/>
              <w:rPr>
                <w:sz w:val="20"/>
                <w:szCs w:val="20"/>
              </w:rPr>
            </w:pPr>
            <w:r w:rsidRPr="002050CC">
              <w:rPr>
                <w:sz w:val="20"/>
                <w:szCs w:val="20"/>
              </w:rPr>
              <w:t xml:space="preserve">A person who helps people to think about and plan for their lives and how to make this happen, including natural supports and involvement from the community. This term includes Local Area Coordinators (LACs) and Navigators, Connectors or </w:t>
            </w:r>
            <w:proofErr w:type="spellStart"/>
            <w:r w:rsidRPr="002050CC">
              <w:rPr>
                <w:sz w:val="20"/>
                <w:szCs w:val="20"/>
              </w:rPr>
              <w:t>Tūhono</w:t>
            </w:r>
            <w:proofErr w:type="spellEnd"/>
            <w:r w:rsidRPr="002050CC">
              <w:rPr>
                <w:sz w:val="20"/>
                <w:szCs w:val="20"/>
              </w:rPr>
              <w:t>.</w:t>
            </w:r>
          </w:p>
        </w:tc>
      </w:tr>
      <w:tr w:rsidR="00B328C2" w:rsidRPr="00947FD8" w14:paraId="664B9945" w14:textId="77777777" w:rsidTr="00B328C2">
        <w:trPr>
          <w:cantSplit/>
        </w:trPr>
        <w:tc>
          <w:tcPr>
            <w:tcW w:w="1985" w:type="dxa"/>
          </w:tcPr>
          <w:p w14:paraId="67ABFAFC" w14:textId="77777777" w:rsidR="00B328C2" w:rsidRPr="002050CC" w:rsidRDefault="00B328C2" w:rsidP="00B328C2">
            <w:pPr>
              <w:pStyle w:val="TableText"/>
              <w:rPr>
                <w:sz w:val="20"/>
                <w:szCs w:val="20"/>
              </w:rPr>
            </w:pPr>
            <w:r w:rsidRPr="002050CC">
              <w:rPr>
                <w:sz w:val="20"/>
                <w:szCs w:val="20"/>
              </w:rPr>
              <w:t xml:space="preserve">Funding </w:t>
            </w:r>
            <w:r w:rsidR="00947FD8">
              <w:rPr>
                <w:sz w:val="20"/>
                <w:szCs w:val="20"/>
              </w:rPr>
              <w:t>m</w:t>
            </w:r>
            <w:r w:rsidRPr="002050CC">
              <w:rPr>
                <w:sz w:val="20"/>
                <w:szCs w:val="20"/>
              </w:rPr>
              <w:t>anager</w:t>
            </w:r>
          </w:p>
        </w:tc>
        <w:tc>
          <w:tcPr>
            <w:tcW w:w="7371" w:type="dxa"/>
          </w:tcPr>
          <w:p w14:paraId="4BC882B8" w14:textId="77777777" w:rsidR="00B328C2" w:rsidRPr="002050CC" w:rsidRDefault="00B328C2" w:rsidP="00B328C2">
            <w:pPr>
              <w:pStyle w:val="TableText"/>
              <w:rPr>
                <w:sz w:val="20"/>
                <w:szCs w:val="20"/>
              </w:rPr>
            </w:pPr>
            <w:r w:rsidRPr="002050CC">
              <w:rPr>
                <w:sz w:val="20"/>
                <w:szCs w:val="20"/>
              </w:rPr>
              <w:t>The organisation or individual who allocates funding, such as a Needs Assessment and Service Coordination (NASC) organisation.</w:t>
            </w:r>
          </w:p>
        </w:tc>
      </w:tr>
      <w:tr w:rsidR="00B328C2" w:rsidRPr="00947FD8" w14:paraId="37C120E0" w14:textId="77777777" w:rsidTr="00B328C2">
        <w:trPr>
          <w:cantSplit/>
        </w:trPr>
        <w:tc>
          <w:tcPr>
            <w:tcW w:w="1985" w:type="dxa"/>
          </w:tcPr>
          <w:p w14:paraId="7D43D064" w14:textId="77777777" w:rsidR="00B328C2" w:rsidRPr="002050CC" w:rsidRDefault="00B328C2" w:rsidP="00B328C2">
            <w:pPr>
              <w:pStyle w:val="TableText"/>
              <w:rPr>
                <w:sz w:val="20"/>
                <w:szCs w:val="20"/>
              </w:rPr>
            </w:pPr>
            <w:r w:rsidRPr="002050CC">
              <w:rPr>
                <w:sz w:val="20"/>
                <w:szCs w:val="20"/>
              </w:rPr>
              <w:t>Funder</w:t>
            </w:r>
          </w:p>
        </w:tc>
        <w:tc>
          <w:tcPr>
            <w:tcW w:w="7371" w:type="dxa"/>
          </w:tcPr>
          <w:p w14:paraId="2D9E94D9" w14:textId="77777777" w:rsidR="00B328C2" w:rsidRPr="002050CC" w:rsidRDefault="00B328C2" w:rsidP="00B328C2">
            <w:pPr>
              <w:pStyle w:val="TableText"/>
              <w:rPr>
                <w:sz w:val="20"/>
                <w:szCs w:val="20"/>
              </w:rPr>
            </w:pPr>
            <w:r w:rsidRPr="002050CC">
              <w:rPr>
                <w:sz w:val="20"/>
                <w:szCs w:val="20"/>
              </w:rPr>
              <w:t>The Ministry of Health (or the combined government departments responsible for the funding that is provided to the person).</w:t>
            </w:r>
          </w:p>
        </w:tc>
      </w:tr>
      <w:tr w:rsidR="00B328C2" w:rsidRPr="00947FD8" w14:paraId="24A5C418" w14:textId="77777777" w:rsidTr="00B328C2">
        <w:trPr>
          <w:cantSplit/>
        </w:trPr>
        <w:tc>
          <w:tcPr>
            <w:tcW w:w="1985" w:type="dxa"/>
          </w:tcPr>
          <w:p w14:paraId="0716F544" w14:textId="77777777" w:rsidR="00B328C2" w:rsidRPr="002050CC" w:rsidRDefault="00B328C2" w:rsidP="00B328C2">
            <w:pPr>
              <w:pStyle w:val="TableText"/>
              <w:rPr>
                <w:sz w:val="20"/>
                <w:szCs w:val="20"/>
              </w:rPr>
            </w:pPr>
            <w:r w:rsidRPr="002050CC">
              <w:rPr>
                <w:sz w:val="20"/>
                <w:szCs w:val="20"/>
              </w:rPr>
              <w:t xml:space="preserve">Purchasing </w:t>
            </w:r>
            <w:r w:rsidR="00947FD8">
              <w:rPr>
                <w:sz w:val="20"/>
                <w:szCs w:val="20"/>
              </w:rPr>
              <w:t>a</w:t>
            </w:r>
            <w:r w:rsidRPr="002050CC">
              <w:rPr>
                <w:sz w:val="20"/>
                <w:szCs w:val="20"/>
              </w:rPr>
              <w:t>dvisor</w:t>
            </w:r>
          </w:p>
        </w:tc>
        <w:tc>
          <w:tcPr>
            <w:tcW w:w="7371" w:type="dxa"/>
          </w:tcPr>
          <w:p w14:paraId="16CBD48C" w14:textId="77777777" w:rsidR="00B328C2" w:rsidRPr="002050CC" w:rsidRDefault="00B328C2" w:rsidP="00B328C2">
            <w:pPr>
              <w:pStyle w:val="TableText"/>
              <w:rPr>
                <w:sz w:val="20"/>
                <w:szCs w:val="20"/>
              </w:rPr>
            </w:pPr>
            <w:r w:rsidRPr="002050CC">
              <w:rPr>
                <w:sz w:val="20"/>
                <w:szCs w:val="20"/>
              </w:rPr>
              <w:t xml:space="preserve">An appointed representative of the funder who has experience and knowledge of what supports are available in the community and can provide advice to providers, </w:t>
            </w:r>
            <w:r w:rsidR="00947FD8">
              <w:rPr>
                <w:sz w:val="20"/>
                <w:szCs w:val="20"/>
              </w:rPr>
              <w:t>f</w:t>
            </w:r>
            <w:r w:rsidRPr="002050CC">
              <w:rPr>
                <w:sz w:val="20"/>
                <w:szCs w:val="20"/>
              </w:rPr>
              <w:t xml:space="preserve">unding </w:t>
            </w:r>
            <w:r w:rsidR="00947FD8">
              <w:rPr>
                <w:sz w:val="20"/>
                <w:szCs w:val="20"/>
              </w:rPr>
              <w:t>, m</w:t>
            </w:r>
            <w:r w:rsidRPr="002050CC">
              <w:rPr>
                <w:sz w:val="20"/>
                <w:szCs w:val="20"/>
              </w:rPr>
              <w:t>anagers (</w:t>
            </w:r>
            <w:proofErr w:type="spellStart"/>
            <w:r w:rsidRPr="002050CC">
              <w:rPr>
                <w:sz w:val="20"/>
                <w:szCs w:val="20"/>
              </w:rPr>
              <w:t>eg</w:t>
            </w:r>
            <w:proofErr w:type="spellEnd"/>
            <w:r w:rsidRPr="002050CC">
              <w:rPr>
                <w:sz w:val="20"/>
                <w:szCs w:val="20"/>
              </w:rPr>
              <w:t>, NASC) or the person (or their family/</w:t>
            </w:r>
            <w:proofErr w:type="spellStart"/>
            <w:r w:rsidRPr="002050CC">
              <w:rPr>
                <w:sz w:val="20"/>
                <w:szCs w:val="20"/>
              </w:rPr>
              <w:t>whānau</w:t>
            </w:r>
            <w:proofErr w:type="spellEnd"/>
            <w:r w:rsidRPr="002050CC">
              <w:rPr>
                <w:sz w:val="20"/>
                <w:szCs w:val="20"/>
              </w:rPr>
              <w:t xml:space="preserve"> or nominated agent).</w:t>
            </w:r>
          </w:p>
        </w:tc>
      </w:tr>
      <w:tr w:rsidR="00B328C2" w:rsidRPr="00947FD8" w14:paraId="13452757" w14:textId="77777777" w:rsidTr="00B328C2">
        <w:trPr>
          <w:cantSplit/>
        </w:trPr>
        <w:tc>
          <w:tcPr>
            <w:tcW w:w="1985" w:type="dxa"/>
          </w:tcPr>
          <w:p w14:paraId="0660A045" w14:textId="77777777" w:rsidR="00B328C2" w:rsidRPr="002050CC" w:rsidRDefault="00B328C2" w:rsidP="00B328C2">
            <w:pPr>
              <w:pStyle w:val="TableText"/>
              <w:rPr>
                <w:sz w:val="20"/>
                <w:szCs w:val="20"/>
              </w:rPr>
            </w:pPr>
            <w:r w:rsidRPr="002050CC">
              <w:rPr>
                <w:sz w:val="20"/>
                <w:szCs w:val="20"/>
              </w:rPr>
              <w:t xml:space="preserve">Purchasing </w:t>
            </w:r>
            <w:r w:rsidR="00947FD8">
              <w:rPr>
                <w:sz w:val="20"/>
                <w:szCs w:val="20"/>
              </w:rPr>
              <w:t>r</w:t>
            </w:r>
            <w:r w:rsidRPr="002050CC">
              <w:rPr>
                <w:sz w:val="20"/>
                <w:szCs w:val="20"/>
              </w:rPr>
              <w:t xml:space="preserve">eview </w:t>
            </w:r>
            <w:r w:rsidR="00947FD8">
              <w:rPr>
                <w:sz w:val="20"/>
                <w:szCs w:val="20"/>
              </w:rPr>
              <w:t>p</w:t>
            </w:r>
            <w:r w:rsidRPr="002050CC">
              <w:rPr>
                <w:sz w:val="20"/>
                <w:szCs w:val="20"/>
              </w:rPr>
              <w:t>anel</w:t>
            </w:r>
          </w:p>
        </w:tc>
        <w:tc>
          <w:tcPr>
            <w:tcW w:w="7371" w:type="dxa"/>
          </w:tcPr>
          <w:p w14:paraId="43F1187C" w14:textId="77777777" w:rsidR="00B328C2" w:rsidRPr="002050CC" w:rsidRDefault="00B328C2" w:rsidP="00B328C2">
            <w:pPr>
              <w:pStyle w:val="TableText"/>
              <w:rPr>
                <w:sz w:val="20"/>
                <w:szCs w:val="20"/>
              </w:rPr>
            </w:pPr>
            <w:r w:rsidRPr="002050CC">
              <w:rPr>
                <w:sz w:val="20"/>
                <w:szCs w:val="20"/>
              </w:rPr>
              <w:t>The panel containing representatives of the disability community and the Ministry of Health.</w:t>
            </w:r>
          </w:p>
        </w:tc>
      </w:tr>
    </w:tbl>
    <w:p w14:paraId="5F02E35C" w14:textId="77777777" w:rsidR="00C939A5" w:rsidRPr="002050CC" w:rsidRDefault="00C939A5" w:rsidP="00B328C2">
      <w:pPr>
        <w:rPr>
          <w:sz w:val="20"/>
          <w:szCs w:val="20"/>
        </w:rPr>
      </w:pPr>
    </w:p>
    <w:p w14:paraId="0CD92774" w14:textId="77777777" w:rsidR="00C939A5" w:rsidRDefault="00C939A5" w:rsidP="00B328C2">
      <w:pPr>
        <w:pStyle w:val="Heading3"/>
      </w:pPr>
      <w:r>
        <w:t>The person</w:t>
      </w:r>
    </w:p>
    <w:p w14:paraId="01CB3741" w14:textId="77777777" w:rsidR="00C939A5" w:rsidRDefault="00C939A5" w:rsidP="00B328C2">
      <w:r>
        <w:t xml:space="preserve">The person is responsible for considering how all supports that they buy meet the </w:t>
      </w:r>
      <w:r w:rsidRPr="002050CC">
        <w:rPr>
          <w:i/>
        </w:rPr>
        <w:t>Purchasing Guidelines</w:t>
      </w:r>
      <w:r>
        <w:t xml:space="preserve">. They are responsible for </w:t>
      </w:r>
      <w:r w:rsidR="00947FD8">
        <w:t xml:space="preserve">getting </w:t>
      </w:r>
      <w:r>
        <w:t xml:space="preserve">advice where they are unsure whether a proposed support meets the </w:t>
      </w:r>
      <w:r w:rsidRPr="002050CC">
        <w:rPr>
          <w:i/>
        </w:rPr>
        <w:t>Purchasing Guidelines</w:t>
      </w:r>
      <w:r>
        <w:t>.</w:t>
      </w:r>
    </w:p>
    <w:p w14:paraId="6C136F3C" w14:textId="77777777" w:rsidR="00C939A5" w:rsidRDefault="00C939A5" w:rsidP="007B0128">
      <w:pPr>
        <w:spacing w:before="180"/>
      </w:pPr>
      <w:r>
        <w:t>The person may be supported by their family/</w:t>
      </w:r>
      <w:proofErr w:type="spellStart"/>
      <w:r>
        <w:t>whānau</w:t>
      </w:r>
      <w:proofErr w:type="spellEnd"/>
      <w:r>
        <w:t xml:space="preserve"> or a nominated agent who may make decisions about the use of funding on the person’s behalf.</w:t>
      </w:r>
    </w:p>
    <w:p w14:paraId="409F3A99" w14:textId="77777777" w:rsidR="00C939A5" w:rsidRDefault="00C939A5" w:rsidP="007B0128">
      <w:pPr>
        <w:spacing w:before="180"/>
      </w:pPr>
      <w:r>
        <w:t xml:space="preserve">The person may be asked to explain how a support meets the </w:t>
      </w:r>
      <w:r w:rsidRPr="002050CC">
        <w:rPr>
          <w:i/>
        </w:rPr>
        <w:t>Purchasing Guidelines</w:t>
      </w:r>
      <w:r>
        <w:t xml:space="preserve"> when their use of funding is reviewed.</w:t>
      </w:r>
    </w:p>
    <w:p w14:paraId="3797DC6B" w14:textId="77777777" w:rsidR="00B328C2" w:rsidRDefault="00B328C2" w:rsidP="00C939A5"/>
    <w:p w14:paraId="57EFD0BB" w14:textId="77777777" w:rsidR="00C939A5" w:rsidRDefault="00C939A5" w:rsidP="00B328C2">
      <w:pPr>
        <w:pStyle w:val="Heading3"/>
      </w:pPr>
      <w:r>
        <w:t>Provider</w:t>
      </w:r>
    </w:p>
    <w:p w14:paraId="26278A4D" w14:textId="77777777" w:rsidR="00C939A5" w:rsidRDefault="00C939A5" w:rsidP="00B328C2">
      <w:r>
        <w:t>The person (or their family/</w:t>
      </w:r>
      <w:proofErr w:type="spellStart"/>
      <w:r>
        <w:t>whānau</w:t>
      </w:r>
      <w:proofErr w:type="spellEnd"/>
      <w:r>
        <w:t xml:space="preserve"> or nominated agent) may engage a provider to help them administer or manage their funding. The provider can support the person with making decisions on how they plan to use their funding.</w:t>
      </w:r>
    </w:p>
    <w:p w14:paraId="55F162D2" w14:textId="77777777" w:rsidR="00C939A5" w:rsidRDefault="00C939A5" w:rsidP="007B0128">
      <w:pPr>
        <w:spacing w:before="180"/>
      </w:pPr>
      <w:r>
        <w:t>Depending on the situation, the provider may be a Flexible Disability Supports provider, Host provider or Choice in Community Living provider.</w:t>
      </w:r>
    </w:p>
    <w:p w14:paraId="2868EAA2" w14:textId="77777777" w:rsidR="00C939A5" w:rsidRDefault="00C939A5" w:rsidP="007B0128">
      <w:pPr>
        <w:spacing w:before="180"/>
      </w:pPr>
      <w:r>
        <w:t xml:space="preserve">Where the person </w:t>
      </w:r>
      <w:r w:rsidR="00947FD8">
        <w:t xml:space="preserve">gets </w:t>
      </w:r>
      <w:r>
        <w:t xml:space="preserve">advice from a provider, that provider is responsible for helping the person access advice from a </w:t>
      </w:r>
      <w:r w:rsidR="00947FD8">
        <w:t>p</w:t>
      </w:r>
      <w:r>
        <w:t xml:space="preserve">urchasing </w:t>
      </w:r>
      <w:r w:rsidR="00947FD8">
        <w:t xml:space="preserve">advisor </w:t>
      </w:r>
      <w:r>
        <w:t xml:space="preserve">or approval from the </w:t>
      </w:r>
      <w:r w:rsidR="00947FD8">
        <w:t>purchasing review p</w:t>
      </w:r>
      <w:r>
        <w:t>anel.</w:t>
      </w:r>
    </w:p>
    <w:p w14:paraId="5BFE023F" w14:textId="77777777" w:rsidR="00B328C2" w:rsidRDefault="00B328C2" w:rsidP="00B328C2"/>
    <w:p w14:paraId="3AA909F9" w14:textId="77777777" w:rsidR="00C939A5" w:rsidRDefault="00C939A5" w:rsidP="00B328C2">
      <w:pPr>
        <w:pStyle w:val="Heading3"/>
      </w:pPr>
      <w:r>
        <w:t xml:space="preserve">Independent Facilitator, </w:t>
      </w:r>
      <w:r w:rsidR="00947FD8">
        <w:t>f</w:t>
      </w:r>
      <w:r>
        <w:t xml:space="preserve">unding </w:t>
      </w:r>
      <w:r w:rsidR="00947FD8">
        <w:t>m</w:t>
      </w:r>
      <w:r>
        <w:t>anager</w:t>
      </w:r>
    </w:p>
    <w:p w14:paraId="01F05C32" w14:textId="77777777" w:rsidR="00C939A5" w:rsidRDefault="00C939A5" w:rsidP="00B328C2">
      <w:r>
        <w:t>The person (or their family/</w:t>
      </w:r>
      <w:proofErr w:type="spellStart"/>
      <w:r>
        <w:t>whānau</w:t>
      </w:r>
      <w:proofErr w:type="spellEnd"/>
      <w:r>
        <w:t xml:space="preserve"> or nominated agent) may discuss proposed supports with an Independent Facilitator or their </w:t>
      </w:r>
      <w:r w:rsidR="00947FD8">
        <w:t>f</w:t>
      </w:r>
      <w:r>
        <w:t xml:space="preserve">unding </w:t>
      </w:r>
      <w:r w:rsidR="00947FD8">
        <w:t>m</w:t>
      </w:r>
      <w:r>
        <w:t>anager.</w:t>
      </w:r>
    </w:p>
    <w:p w14:paraId="7D0D8942" w14:textId="77777777" w:rsidR="00C939A5" w:rsidRDefault="00C939A5" w:rsidP="007B0128">
      <w:pPr>
        <w:spacing w:before="180"/>
      </w:pPr>
      <w:r>
        <w:t>Where the person seeks advice from an Independent Facilitator or Funding Manager, that Independent Facilitator or Funding Manager can access advice from a Purchasing Advisor.</w:t>
      </w:r>
    </w:p>
    <w:p w14:paraId="0B57916F" w14:textId="77777777" w:rsidR="00B328C2" w:rsidRDefault="00B328C2" w:rsidP="00B328C2"/>
    <w:p w14:paraId="3972FB75" w14:textId="77777777" w:rsidR="00C939A5" w:rsidRDefault="00C939A5" w:rsidP="00B328C2">
      <w:pPr>
        <w:pStyle w:val="Heading3"/>
      </w:pPr>
      <w:r>
        <w:t xml:space="preserve">Purchasing </w:t>
      </w:r>
      <w:r w:rsidR="00FA46AD">
        <w:t>a</w:t>
      </w:r>
      <w:r>
        <w:t>dvisor</w:t>
      </w:r>
    </w:p>
    <w:p w14:paraId="0B2590D2" w14:textId="77777777" w:rsidR="00C939A5" w:rsidRDefault="00C939A5" w:rsidP="00B328C2">
      <w:r>
        <w:t xml:space="preserve">A </w:t>
      </w:r>
      <w:r w:rsidR="00947FD8">
        <w:t>p</w:t>
      </w:r>
      <w:r>
        <w:t xml:space="preserve">urchasing </w:t>
      </w:r>
      <w:r w:rsidR="00947FD8">
        <w:t>a</w:t>
      </w:r>
      <w:r>
        <w:t xml:space="preserve">dvisor </w:t>
      </w:r>
      <w:r w:rsidR="00FA46AD">
        <w:t>represents t</w:t>
      </w:r>
      <w:r>
        <w:t xml:space="preserve">he funder. A </w:t>
      </w:r>
      <w:r w:rsidR="00947FD8">
        <w:t>p</w:t>
      </w:r>
      <w:r>
        <w:t xml:space="preserve">urchasing </w:t>
      </w:r>
      <w:r w:rsidR="00947FD8">
        <w:t>a</w:t>
      </w:r>
      <w:r>
        <w:t xml:space="preserve">dvisor has experience and knowledge of what supports are available in the community and can provide advice to the person (or </w:t>
      </w:r>
      <w:r w:rsidR="00947FD8">
        <w:t xml:space="preserve">the </w:t>
      </w:r>
      <w:r>
        <w:t xml:space="preserve">other party </w:t>
      </w:r>
      <w:r w:rsidR="00947FD8">
        <w:t>asking for</w:t>
      </w:r>
      <w:r>
        <w:t xml:space="preserve"> advice on behalf of the person).</w:t>
      </w:r>
    </w:p>
    <w:p w14:paraId="3B318F8C" w14:textId="77777777" w:rsidR="00C939A5" w:rsidRDefault="00C939A5" w:rsidP="007B0128">
      <w:pPr>
        <w:spacing w:before="180"/>
      </w:pPr>
      <w:r>
        <w:t xml:space="preserve">The </w:t>
      </w:r>
      <w:r w:rsidR="00947FD8">
        <w:t>p</w:t>
      </w:r>
      <w:r>
        <w:t xml:space="preserve">urchasing </w:t>
      </w:r>
      <w:r w:rsidR="00FA46AD">
        <w:t>a</w:t>
      </w:r>
      <w:r>
        <w:t xml:space="preserve">dvisor is also responsible for presenting proposed supports to a </w:t>
      </w:r>
      <w:r w:rsidR="00FA46AD">
        <w:t>p</w:t>
      </w:r>
      <w:r>
        <w:t xml:space="preserve">urchasing </w:t>
      </w:r>
      <w:r w:rsidR="00FA46AD">
        <w:t>r</w:t>
      </w:r>
      <w:r>
        <w:t xml:space="preserve">eview </w:t>
      </w:r>
      <w:r w:rsidR="00FA46AD">
        <w:t>p</w:t>
      </w:r>
      <w:r>
        <w:t>anel and communicating purchasing decisions to the person (and their provider).</w:t>
      </w:r>
    </w:p>
    <w:p w14:paraId="775CBDBB" w14:textId="77777777" w:rsidR="00B328C2" w:rsidRDefault="00B328C2" w:rsidP="00B328C2"/>
    <w:p w14:paraId="3BE7A0E6" w14:textId="77777777" w:rsidR="00C939A5" w:rsidRDefault="00C939A5" w:rsidP="00B328C2">
      <w:pPr>
        <w:pStyle w:val="Heading3"/>
      </w:pPr>
      <w:r>
        <w:t xml:space="preserve">Purchasing </w:t>
      </w:r>
      <w:r w:rsidR="00FA46AD">
        <w:t>r</w:t>
      </w:r>
      <w:r>
        <w:t xml:space="preserve">eview </w:t>
      </w:r>
      <w:r w:rsidR="00FA46AD">
        <w:t>p</w:t>
      </w:r>
      <w:r>
        <w:t>anel</w:t>
      </w:r>
    </w:p>
    <w:p w14:paraId="40147C09" w14:textId="447A5934" w:rsidR="00C939A5" w:rsidRDefault="00C939A5" w:rsidP="00B328C2">
      <w:r>
        <w:t xml:space="preserve">A </w:t>
      </w:r>
      <w:r w:rsidR="00FA46AD">
        <w:t>p</w:t>
      </w:r>
      <w:r>
        <w:t xml:space="preserve">urchasing </w:t>
      </w:r>
      <w:r w:rsidR="00FA46AD">
        <w:t>r</w:t>
      </w:r>
      <w:r>
        <w:t xml:space="preserve">eview </w:t>
      </w:r>
      <w:r w:rsidR="00FA46AD">
        <w:t>p</w:t>
      </w:r>
      <w:r>
        <w:t xml:space="preserve">anel meeting </w:t>
      </w:r>
      <w:r w:rsidR="00FA46AD">
        <w:t xml:space="preserve">is </w:t>
      </w:r>
      <w:r>
        <w:t xml:space="preserve">convened (when necessary) </w:t>
      </w:r>
      <w:r w:rsidR="00D50F20">
        <w:t xml:space="preserve">to </w:t>
      </w:r>
      <w:r>
        <w:t xml:space="preserve">determine if </w:t>
      </w:r>
      <w:r w:rsidR="00D50F20">
        <w:t xml:space="preserve">a proposed </w:t>
      </w:r>
      <w:r>
        <w:t xml:space="preserve">support meets the </w:t>
      </w:r>
      <w:r w:rsidRPr="00655AFE">
        <w:rPr>
          <w:i/>
        </w:rPr>
        <w:t>Purchasing Guidelines</w:t>
      </w:r>
      <w:r>
        <w:t xml:space="preserve">. At least half the membership of the </w:t>
      </w:r>
      <w:r w:rsidR="00FA46AD">
        <w:t xml:space="preserve">purchasing review panel </w:t>
      </w:r>
      <w:r>
        <w:t>must be from the disability community.</w:t>
      </w:r>
    </w:p>
    <w:p w14:paraId="6CE72EFF" w14:textId="77777777" w:rsidR="00C939A5" w:rsidRDefault="00C939A5" w:rsidP="007B0128">
      <w:pPr>
        <w:spacing w:before="180"/>
      </w:pPr>
      <w:r>
        <w:lastRenderedPageBreak/>
        <w:t xml:space="preserve">The </w:t>
      </w:r>
      <w:r w:rsidR="00FA46AD">
        <w:t>p</w:t>
      </w:r>
      <w:r>
        <w:t xml:space="preserve">urchasing </w:t>
      </w:r>
      <w:r w:rsidR="00FA46AD">
        <w:t>r</w:t>
      </w:r>
      <w:r>
        <w:t xml:space="preserve">eview </w:t>
      </w:r>
      <w:r w:rsidR="00FA46AD">
        <w:t>p</w:t>
      </w:r>
      <w:r>
        <w:t>anel is responsible for giving advice to people who are making support purchasing decisions and for publishing any decisions they make.</w:t>
      </w:r>
    </w:p>
    <w:p w14:paraId="7C02E2A5" w14:textId="77777777" w:rsidR="00C939A5" w:rsidRDefault="00C939A5" w:rsidP="007B0128">
      <w:pPr>
        <w:spacing w:before="180"/>
      </w:pPr>
      <w:r>
        <w:t xml:space="preserve">The </w:t>
      </w:r>
      <w:r w:rsidR="00FA46AD">
        <w:t>p</w:t>
      </w:r>
      <w:r>
        <w:t xml:space="preserve">urchasing </w:t>
      </w:r>
      <w:r w:rsidR="00FA46AD">
        <w:t>r</w:t>
      </w:r>
      <w:r>
        <w:t xml:space="preserve">eview </w:t>
      </w:r>
      <w:r w:rsidR="00FA46AD">
        <w:t>p</w:t>
      </w:r>
      <w:r>
        <w:t xml:space="preserve">anel’s terms of reference </w:t>
      </w:r>
      <w:r w:rsidR="00FA46AD">
        <w:t>is</w:t>
      </w:r>
      <w:r>
        <w:t xml:space="preserve"> developed by each specific purchasing review panel.</w:t>
      </w:r>
    </w:p>
    <w:p w14:paraId="15BDD772" w14:textId="77777777" w:rsidR="00B328C2" w:rsidRDefault="00B328C2" w:rsidP="00B328C2"/>
    <w:p w14:paraId="2EFEDB80" w14:textId="77777777" w:rsidR="00C939A5" w:rsidRDefault="00C939A5" w:rsidP="00B328C2">
      <w:pPr>
        <w:pStyle w:val="Heading2"/>
      </w:pPr>
      <w:r>
        <w:t>Disputes</w:t>
      </w:r>
    </w:p>
    <w:p w14:paraId="023781FD" w14:textId="77777777" w:rsidR="00C939A5" w:rsidRDefault="00C939A5" w:rsidP="00B328C2">
      <w:r>
        <w:t>Disputes may arise when:</w:t>
      </w:r>
    </w:p>
    <w:p w14:paraId="26827B23" w14:textId="77777777" w:rsidR="00C939A5" w:rsidRDefault="00C939A5" w:rsidP="00D50F20">
      <w:pPr>
        <w:pStyle w:val="Bullet"/>
      </w:pPr>
      <w:r>
        <w:t>the person (or their family/</w:t>
      </w:r>
      <w:proofErr w:type="spellStart"/>
      <w:r>
        <w:t>whānau</w:t>
      </w:r>
      <w:proofErr w:type="spellEnd"/>
      <w:r>
        <w:t xml:space="preserve"> or nominated agent) does not agree with the advice given by a </w:t>
      </w:r>
      <w:r w:rsidR="00FA46AD">
        <w:t>p</w:t>
      </w:r>
      <w:r>
        <w:t xml:space="preserve">urchasing </w:t>
      </w:r>
      <w:r w:rsidR="00FA46AD">
        <w:t>a</w:t>
      </w:r>
      <w:r>
        <w:t>dvisor or provider</w:t>
      </w:r>
    </w:p>
    <w:p w14:paraId="76BAB858" w14:textId="77777777" w:rsidR="00C939A5" w:rsidRDefault="00C939A5" w:rsidP="00D50F20">
      <w:pPr>
        <w:pStyle w:val="Bullet"/>
      </w:pPr>
      <w:r>
        <w:t>an organisation who is reviewing the person’s use of funding</w:t>
      </w:r>
      <w:r w:rsidR="00B328C2">
        <w:rPr>
          <w:rStyle w:val="FootnoteReference"/>
        </w:rPr>
        <w:footnoteReference w:id="2"/>
      </w:r>
      <w:r>
        <w:t xml:space="preserve"> does not believe that the purchase fits the </w:t>
      </w:r>
      <w:r w:rsidRPr="00D50F20">
        <w:rPr>
          <w:i/>
        </w:rPr>
        <w:t>Purchasing Guidelines</w:t>
      </w:r>
    </w:p>
    <w:p w14:paraId="743EF583" w14:textId="77777777" w:rsidR="00C939A5" w:rsidRDefault="00C939A5" w:rsidP="00D50F20">
      <w:pPr>
        <w:pStyle w:val="Bullet"/>
      </w:pPr>
      <w:proofErr w:type="gramStart"/>
      <w:r>
        <w:t>the</w:t>
      </w:r>
      <w:proofErr w:type="gramEnd"/>
      <w:r>
        <w:t xml:space="preserve"> person (or their family/</w:t>
      </w:r>
      <w:proofErr w:type="spellStart"/>
      <w:r>
        <w:t>whānau</w:t>
      </w:r>
      <w:proofErr w:type="spellEnd"/>
      <w:r>
        <w:t xml:space="preserve"> or nominated agent) does not agree with a decision made by the </w:t>
      </w:r>
      <w:r w:rsidR="00FA46AD">
        <w:t>p</w:t>
      </w:r>
      <w:r>
        <w:t xml:space="preserve">urchasing </w:t>
      </w:r>
      <w:r w:rsidR="00FA46AD">
        <w:t>r</w:t>
      </w:r>
      <w:r>
        <w:t xml:space="preserve">eview </w:t>
      </w:r>
      <w:r w:rsidR="00FA46AD">
        <w:t>p</w:t>
      </w:r>
      <w:r>
        <w:t>anel.</w:t>
      </w:r>
    </w:p>
    <w:p w14:paraId="2E5D9202" w14:textId="77777777" w:rsidR="00B328C2" w:rsidRDefault="00B328C2" w:rsidP="00B328C2"/>
    <w:p w14:paraId="56B73476" w14:textId="77777777" w:rsidR="00C939A5" w:rsidRDefault="00FA46AD" w:rsidP="00B328C2">
      <w:r>
        <w:t xml:space="preserve">Send </w:t>
      </w:r>
      <w:r w:rsidR="00C939A5">
        <w:t xml:space="preserve">disputes to a </w:t>
      </w:r>
      <w:r>
        <w:t>p</w:t>
      </w:r>
      <w:r w:rsidR="00C939A5">
        <w:t xml:space="preserve">urchasing </w:t>
      </w:r>
      <w:r>
        <w:t>a</w:t>
      </w:r>
      <w:r w:rsidR="00C939A5">
        <w:t xml:space="preserve">dvisor in the first instance. From there, if necessary, they can be referred to the </w:t>
      </w:r>
      <w:r>
        <w:t>p</w:t>
      </w:r>
      <w:r w:rsidR="00C939A5">
        <w:t xml:space="preserve">urchasing </w:t>
      </w:r>
      <w:r>
        <w:t>r</w:t>
      </w:r>
      <w:r w:rsidR="00C939A5">
        <w:t xml:space="preserve">eview </w:t>
      </w:r>
      <w:r>
        <w:t>p</w:t>
      </w:r>
      <w:r w:rsidR="00C939A5">
        <w:t>anel.</w:t>
      </w:r>
    </w:p>
    <w:p w14:paraId="4D64759F" w14:textId="77777777" w:rsidR="00B328C2" w:rsidRDefault="00B328C2" w:rsidP="00B328C2"/>
    <w:p w14:paraId="22013E0A" w14:textId="77777777" w:rsidR="00C939A5" w:rsidRDefault="00C939A5" w:rsidP="00B328C2">
      <w:r>
        <w:t xml:space="preserve">The </w:t>
      </w:r>
      <w:r w:rsidR="00FA46AD">
        <w:t>p</w:t>
      </w:r>
      <w:r>
        <w:t xml:space="preserve">urchasing </w:t>
      </w:r>
      <w:r w:rsidR="00FA46AD">
        <w:t>r</w:t>
      </w:r>
      <w:r>
        <w:t xml:space="preserve">eview </w:t>
      </w:r>
      <w:r w:rsidR="00FA46AD">
        <w:t>p</w:t>
      </w:r>
      <w:r>
        <w:t xml:space="preserve">anel will review all appeals of </w:t>
      </w:r>
      <w:r w:rsidR="00FA46AD">
        <w:t>p</w:t>
      </w:r>
      <w:r>
        <w:t xml:space="preserve">urchasing </w:t>
      </w:r>
      <w:r w:rsidR="00FA46AD">
        <w:t>r</w:t>
      </w:r>
      <w:r>
        <w:t xml:space="preserve">eview </w:t>
      </w:r>
      <w:r w:rsidR="00FA46AD">
        <w:t>p</w:t>
      </w:r>
      <w:r>
        <w:t>anel decisions.</w:t>
      </w:r>
    </w:p>
    <w:p w14:paraId="24B5C0FA" w14:textId="77777777" w:rsidR="00B328C2" w:rsidRDefault="00B328C2" w:rsidP="00B328C2"/>
    <w:p w14:paraId="6BB90B43" w14:textId="77777777" w:rsidR="00C939A5" w:rsidRDefault="00C939A5" w:rsidP="00B328C2">
      <w:r>
        <w:t xml:space="preserve">A </w:t>
      </w:r>
      <w:r w:rsidR="00FA46AD">
        <w:t>p</w:t>
      </w:r>
      <w:r>
        <w:t xml:space="preserve">urchasing </w:t>
      </w:r>
      <w:r w:rsidR="00FA46AD">
        <w:t>r</w:t>
      </w:r>
      <w:r>
        <w:t xml:space="preserve">eview </w:t>
      </w:r>
      <w:r w:rsidR="00FA46AD">
        <w:t>p</w:t>
      </w:r>
      <w:r>
        <w:t>anel decision can only be appealed against if the person (or their family/</w:t>
      </w:r>
      <w:proofErr w:type="spellStart"/>
      <w:r>
        <w:t>whānau</w:t>
      </w:r>
      <w:proofErr w:type="spellEnd"/>
      <w:r>
        <w:t xml:space="preserve"> or nominated agent) can supply information that was not originally considered by the </w:t>
      </w:r>
      <w:r w:rsidR="00FA46AD">
        <w:t>p</w:t>
      </w:r>
      <w:r>
        <w:t xml:space="preserve">urchasing </w:t>
      </w:r>
      <w:r w:rsidR="00FA46AD">
        <w:t>r</w:t>
      </w:r>
      <w:r>
        <w:t xml:space="preserve">eview </w:t>
      </w:r>
      <w:r w:rsidR="00FA46AD">
        <w:t>p</w:t>
      </w:r>
      <w:r>
        <w:t>anel.</w:t>
      </w:r>
    </w:p>
    <w:p w14:paraId="34F1FE61" w14:textId="77777777" w:rsidR="00B328C2" w:rsidRDefault="00B328C2" w:rsidP="00B328C2"/>
    <w:p w14:paraId="42B89E96" w14:textId="77777777" w:rsidR="00C939A5" w:rsidRDefault="00FA46AD" w:rsidP="00B328C2">
      <w:r>
        <w:t>Send any</w:t>
      </w:r>
      <w:r w:rsidR="00C939A5">
        <w:t xml:space="preserve"> new information that supports an appeal to the </w:t>
      </w:r>
      <w:r>
        <w:t>p</w:t>
      </w:r>
      <w:r w:rsidR="00C939A5">
        <w:t xml:space="preserve">urchasing </w:t>
      </w:r>
      <w:r>
        <w:t>r</w:t>
      </w:r>
      <w:r w:rsidR="00C939A5">
        <w:t xml:space="preserve">eview </w:t>
      </w:r>
      <w:r>
        <w:t>p</w:t>
      </w:r>
      <w:r w:rsidR="00C939A5">
        <w:t>anel within two weeks of the person (or their family/</w:t>
      </w:r>
      <w:proofErr w:type="spellStart"/>
      <w:r w:rsidR="00C939A5">
        <w:t>whānau</w:t>
      </w:r>
      <w:proofErr w:type="spellEnd"/>
      <w:r w:rsidR="00C939A5">
        <w:t xml:space="preserve"> or nominated agent) being notified of the original decision.</w:t>
      </w:r>
    </w:p>
    <w:p w14:paraId="3FA8C80B" w14:textId="77777777" w:rsidR="00B328C2" w:rsidRDefault="00B328C2" w:rsidP="00B328C2"/>
    <w:p w14:paraId="490F28E2"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00B0A6D1" wp14:editId="13FC4E4F">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65A04C9A" w14:textId="77777777" w:rsidR="00FA46AD" w:rsidRDefault="00FA0F96" w:rsidP="002233D8">
      <w:pPr>
        <w:spacing w:before="240"/>
        <w:jc w:val="center"/>
        <w:rPr>
          <w:lang w:eastAsia="en-NZ"/>
        </w:rPr>
      </w:pPr>
      <w:r>
        <w:t>HP 6801</w:t>
      </w:r>
    </w:p>
    <w:p w14:paraId="51A79C5E" w14:textId="77777777" w:rsidR="000C3FA7" w:rsidRPr="00DD748F" w:rsidRDefault="000C3FA7" w:rsidP="000C3FA7">
      <w:pPr>
        <w:spacing w:line="240" w:lineRule="auto"/>
        <w:rPr>
          <w:lang w:eastAsia="en-NZ"/>
        </w:rPr>
      </w:pPr>
    </w:p>
    <w:sectPr w:rsidR="000C3FA7" w:rsidRPr="00DD748F" w:rsidSect="007B0128">
      <w:footerReference w:type="even" r:id="rId10"/>
      <w:footerReference w:type="default" r:id="rId11"/>
      <w:headerReference w:type="first" r:id="rId12"/>
      <w:footerReference w:type="first" r:id="rId13"/>
      <w:pgSz w:w="11906" w:h="16838" w:code="9"/>
      <w:pgMar w:top="851" w:right="1134" w:bottom="851" w:left="1134"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C9273" w14:textId="77777777" w:rsidR="00BA64A7" w:rsidRDefault="00BA64A7">
      <w:r>
        <w:separator/>
      </w:r>
    </w:p>
  </w:endnote>
  <w:endnote w:type="continuationSeparator" w:id="0">
    <w:p w14:paraId="6CE1B8B3" w14:textId="77777777" w:rsidR="00BA64A7" w:rsidRDefault="00BA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BA3F3" w14:textId="77777777" w:rsidR="00FA46AD" w:rsidRDefault="00FA46AD"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6C17A6">
      <w:rPr>
        <w:rStyle w:val="PageNumber"/>
        <w:noProof/>
      </w:rPr>
      <w:t>2</w:t>
    </w:r>
    <w:r>
      <w:rPr>
        <w:rStyle w:val="PageNumber"/>
      </w:rPr>
      <w:fldChar w:fldCharType="end"/>
    </w:r>
    <w:r>
      <w:tab/>
    </w:r>
    <w:r w:rsidR="00FA0F96" w:rsidRPr="00FA0F96">
      <w:t xml:space="preserve">The Purchasing Approval Process: Ministry of Health Purchasing Guidelines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0B10" w14:textId="77777777" w:rsidR="00FA46AD" w:rsidRPr="00876FB8" w:rsidRDefault="00FA46AD" w:rsidP="007B0128">
    <w:pPr>
      <w:pStyle w:val="Footer"/>
      <w:pBdr>
        <w:top w:val="single" w:sz="4" w:space="4" w:color="auto"/>
      </w:pBdr>
      <w:tabs>
        <w:tab w:val="clear" w:pos="8647"/>
        <w:tab w:val="clear" w:pos="9356"/>
        <w:tab w:val="right" w:pos="8931"/>
        <w:tab w:val="right" w:pos="9639"/>
      </w:tabs>
    </w:pPr>
    <w:r>
      <w:tab/>
      <w:t>Ministry of Health Purchasing Policy: The Purchasing Guidelines Processes</w:t>
    </w:r>
    <w:r>
      <w:tab/>
    </w:r>
    <w:r>
      <w:rPr>
        <w:rStyle w:val="PageNumber"/>
      </w:rPr>
      <w:fldChar w:fldCharType="begin"/>
    </w:r>
    <w:r>
      <w:rPr>
        <w:rStyle w:val="PageNumber"/>
      </w:rPr>
      <w:instrText xml:space="preserve"> PAGE </w:instrText>
    </w:r>
    <w:r>
      <w:rPr>
        <w:rStyle w:val="PageNumber"/>
      </w:rPr>
      <w:fldChar w:fldCharType="separate"/>
    </w:r>
    <w:r w:rsidR="006C17A6">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13CB" w14:textId="77777777" w:rsidR="00FA46AD" w:rsidRDefault="00FA46AD" w:rsidP="007B0128">
    <w:pPr>
      <w:pStyle w:val="Footer"/>
      <w:pBdr>
        <w:top w:val="single" w:sz="4" w:space="4" w:color="auto"/>
      </w:pBdr>
      <w:tabs>
        <w:tab w:val="clear" w:pos="8647"/>
        <w:tab w:val="clear" w:pos="9356"/>
        <w:tab w:val="right" w:pos="8931"/>
        <w:tab w:val="right" w:pos="9639"/>
      </w:tabs>
    </w:pPr>
    <w:r>
      <w:tab/>
    </w:r>
    <w:r w:rsidR="00FA0F96" w:rsidRPr="00FA0F96">
      <w:t xml:space="preserve">The Purchasing Approval Process: Ministry of Health Purchasing Guidelines </w:t>
    </w:r>
    <w:r>
      <w:tab/>
    </w:r>
    <w:r>
      <w:rPr>
        <w:rStyle w:val="PageNumber"/>
      </w:rPr>
      <w:fldChar w:fldCharType="begin"/>
    </w:r>
    <w:r>
      <w:rPr>
        <w:rStyle w:val="PageNumber"/>
      </w:rPr>
      <w:instrText xml:space="preserve"> PAGE </w:instrText>
    </w:r>
    <w:r>
      <w:rPr>
        <w:rStyle w:val="PageNumber"/>
      </w:rPr>
      <w:fldChar w:fldCharType="separate"/>
    </w:r>
    <w:r w:rsidR="006C17A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C856" w14:textId="77777777" w:rsidR="00BA64A7" w:rsidRPr="00680D2D" w:rsidRDefault="00BA64A7" w:rsidP="00680D2D">
      <w:pPr>
        <w:pStyle w:val="Footer"/>
      </w:pPr>
    </w:p>
  </w:footnote>
  <w:footnote w:type="continuationSeparator" w:id="0">
    <w:p w14:paraId="5AC5193E" w14:textId="77777777" w:rsidR="00BA64A7" w:rsidRDefault="00BA64A7">
      <w:r>
        <w:continuationSeparator/>
      </w:r>
    </w:p>
  </w:footnote>
  <w:footnote w:id="1">
    <w:p w14:paraId="70F76CA2" w14:textId="77777777" w:rsidR="00FA46AD" w:rsidRDefault="00FA46AD" w:rsidP="007B0128">
      <w:pPr>
        <w:pStyle w:val="FootnoteText"/>
        <w:spacing w:before="0" w:after="60"/>
      </w:pPr>
      <w:r>
        <w:rPr>
          <w:rStyle w:val="FootnoteReference"/>
        </w:rPr>
        <w:footnoteRef/>
      </w:r>
      <w:r>
        <w:tab/>
        <w:t>A disability support is a good or a service that helps a person overcome barriers related to having an impairment within a disabling society.</w:t>
      </w:r>
    </w:p>
  </w:footnote>
  <w:footnote w:id="2">
    <w:p w14:paraId="5F0F6F80" w14:textId="77777777" w:rsidR="00FA46AD" w:rsidRDefault="00FA46AD" w:rsidP="001D4BA8">
      <w:pPr>
        <w:pStyle w:val="FootnoteText"/>
        <w:spacing w:before="0" w:after="60"/>
      </w:pPr>
      <w:r>
        <w:rPr>
          <w:rStyle w:val="FootnoteReference"/>
        </w:rPr>
        <w:footnoteRef/>
      </w:r>
      <w:r>
        <w:tab/>
        <w:t>Organisations who might review a person’s use of funding include Funding Managers and Ministry of Health officials.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4582" w14:textId="77777777" w:rsidR="00FA46AD" w:rsidRDefault="00FA46AD" w:rsidP="00BD22FC">
    <w:pPr>
      <w:pStyle w:val="Header"/>
      <w:spacing w:after="480"/>
    </w:pPr>
    <w:r>
      <w:rPr>
        <w:noProof/>
        <w:lang w:eastAsia="en-NZ"/>
      </w:rPr>
      <w:drawing>
        <wp:inline distT="0" distB="0" distL="0" distR="0" wp14:anchorId="2F58F436" wp14:editId="029D8B58">
          <wp:extent cx="6084917" cy="573416"/>
          <wp:effectExtent l="0" t="0" r="0" b="0"/>
          <wp:docPr id="1" name="Picture 4"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l="1118"/>
                  <a:stretch>
                    <a:fillRect/>
                  </a:stretch>
                </pic:blipFill>
                <pic:spPr bwMode="auto">
                  <a:xfrm>
                    <a:off x="0" y="0"/>
                    <a:ext cx="6084799"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E3B"/>
    <w:multiLevelType w:val="hybridMultilevel"/>
    <w:tmpl w:val="D29EA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5635E2"/>
    <w:multiLevelType w:val="multilevel"/>
    <w:tmpl w:val="BCEC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43A02"/>
    <w:multiLevelType w:val="hybridMultilevel"/>
    <w:tmpl w:val="537C202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6B6B31"/>
    <w:multiLevelType w:val="hybridMultilevel"/>
    <w:tmpl w:val="12C2E6AA"/>
    <w:lvl w:ilvl="0" w:tplc="48B48050">
      <w:start w:val="1"/>
      <w:numFmt w:val="decimal"/>
      <w:lvlText w:val="%1."/>
      <w:lvlJc w:val="left"/>
      <w:pPr>
        <w:ind w:left="930" w:hanging="57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131B38E6"/>
    <w:multiLevelType w:val="hybridMultilevel"/>
    <w:tmpl w:val="B15E090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9DC4F5C"/>
    <w:multiLevelType w:val="hybridMultilevel"/>
    <w:tmpl w:val="8398F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BD0323B"/>
    <w:multiLevelType w:val="hybridMultilevel"/>
    <w:tmpl w:val="1B025C26"/>
    <w:lvl w:ilvl="0" w:tplc="1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1A15E4D"/>
    <w:multiLevelType w:val="hybridMultilevel"/>
    <w:tmpl w:val="E19C9DE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1CA0668"/>
    <w:multiLevelType w:val="hybridMultilevel"/>
    <w:tmpl w:val="E6EC7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D44F52"/>
    <w:multiLevelType w:val="hybridMultilevel"/>
    <w:tmpl w:val="A5204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44E7161"/>
    <w:multiLevelType w:val="hybridMultilevel"/>
    <w:tmpl w:val="AF5CEEA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97401D0"/>
    <w:multiLevelType w:val="hybridMultilevel"/>
    <w:tmpl w:val="2EF61FC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AE379A4"/>
    <w:multiLevelType w:val="hybridMultilevel"/>
    <w:tmpl w:val="07CC5D2C"/>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BE707B2"/>
    <w:multiLevelType w:val="hybridMultilevel"/>
    <w:tmpl w:val="E4CCE838"/>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2E82515"/>
    <w:multiLevelType w:val="hybridMultilevel"/>
    <w:tmpl w:val="9BCEA6D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78120F5"/>
    <w:multiLevelType w:val="hybridMultilevel"/>
    <w:tmpl w:val="D8445344"/>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A21553F"/>
    <w:multiLevelType w:val="hybridMultilevel"/>
    <w:tmpl w:val="4F04DFD0"/>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7">
    <w:nsid w:val="3D192E16"/>
    <w:multiLevelType w:val="hybridMultilevel"/>
    <w:tmpl w:val="9FE6BFEC"/>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66C55FF"/>
    <w:multiLevelType w:val="hybridMultilevel"/>
    <w:tmpl w:val="9404FDF0"/>
    <w:lvl w:ilvl="0" w:tplc="14090001">
      <w:start w:val="1"/>
      <w:numFmt w:val="bullet"/>
      <w:lvlText w:val=""/>
      <w:lvlJc w:val="left"/>
      <w:pPr>
        <w:ind w:left="360" w:hanging="360"/>
      </w:pPr>
      <w:rPr>
        <w:rFonts w:ascii="Symbol" w:hAnsi="Symbol" w:hint="default"/>
      </w:rPr>
    </w:lvl>
    <w:lvl w:ilvl="1" w:tplc="14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84C4475"/>
    <w:multiLevelType w:val="hybridMultilevel"/>
    <w:tmpl w:val="1E5649A4"/>
    <w:lvl w:ilvl="0" w:tplc="890AC848">
      <w:start w:val="1"/>
      <w:numFmt w:val="bullet"/>
      <w:lvlText w:val="–"/>
      <w:lvlJc w:val="left"/>
      <w:pPr>
        <w:ind w:left="1080" w:hanging="360"/>
      </w:pPr>
      <w:rPr>
        <w:rFonts w:ascii="Courier New" w:hAnsi="Courier New" w:hint="default"/>
      </w:rPr>
    </w:lvl>
    <w:lvl w:ilvl="1" w:tplc="5D6EBB80">
      <w:start w:val="1"/>
      <w:numFmt w:val="bullet"/>
      <w:lvlText w:val="–"/>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49325264"/>
    <w:multiLevelType w:val="hybridMultilevel"/>
    <w:tmpl w:val="FB2E9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BCF023C"/>
    <w:multiLevelType w:val="hybridMultilevel"/>
    <w:tmpl w:val="E6503F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2A01E40"/>
    <w:multiLevelType w:val="hybridMultilevel"/>
    <w:tmpl w:val="F0548A34"/>
    <w:lvl w:ilvl="0" w:tplc="734EEE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34E3094"/>
    <w:multiLevelType w:val="hybridMultilevel"/>
    <w:tmpl w:val="ADCC05F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56679DD"/>
    <w:multiLevelType w:val="hybridMultilevel"/>
    <w:tmpl w:val="6A12C44E"/>
    <w:lvl w:ilvl="0" w:tplc="932A1A56">
      <w:start w:val="1"/>
      <w:numFmt w:val="bullet"/>
      <w:lvlRestart w:val="0"/>
      <w:lvlText w:val=""/>
      <w:lvlJc w:val="left"/>
      <w:pPr>
        <w:tabs>
          <w:tab w:val="num" w:pos="726"/>
        </w:tabs>
        <w:ind w:left="726" w:hanging="363"/>
      </w:pPr>
      <w:rPr>
        <w:rFonts w:ascii="Symbol" w:hAnsi="Symbol" w:hint="default"/>
        <w:color w:val="auto"/>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nsid w:val="566E0B01"/>
    <w:multiLevelType w:val="hybridMultilevel"/>
    <w:tmpl w:val="9AD08C2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8BF6637"/>
    <w:multiLevelType w:val="hybridMultilevel"/>
    <w:tmpl w:val="5378A82C"/>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8">
    <w:nsid w:val="5A5F32D0"/>
    <w:multiLevelType w:val="hybridMultilevel"/>
    <w:tmpl w:val="472CF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B342B6B"/>
    <w:multiLevelType w:val="hybridMultilevel"/>
    <w:tmpl w:val="20DAB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1E4205B"/>
    <w:multiLevelType w:val="hybridMultilevel"/>
    <w:tmpl w:val="720467C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nsid w:val="66725D6E"/>
    <w:multiLevelType w:val="hybridMultilevel"/>
    <w:tmpl w:val="31F6FA2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6867853"/>
    <w:multiLevelType w:val="hybridMultilevel"/>
    <w:tmpl w:val="776E2F12"/>
    <w:lvl w:ilvl="0" w:tplc="14090001">
      <w:start w:val="1"/>
      <w:numFmt w:val="bullet"/>
      <w:lvlText w:val=""/>
      <w:lvlJc w:val="left"/>
      <w:pPr>
        <w:tabs>
          <w:tab w:val="num" w:pos="360"/>
        </w:tabs>
        <w:ind w:left="360" w:hanging="360"/>
      </w:pPr>
      <w:rPr>
        <w:rFonts w:ascii="Symbol" w:hAnsi="Symbol" w:hint="default"/>
      </w:rPr>
    </w:lvl>
    <w:lvl w:ilvl="1" w:tplc="D4C2B8C2">
      <w:start w:val="1"/>
      <w:numFmt w:val="bullet"/>
      <w:lvlText w:val=""/>
      <w:lvlJc w:val="left"/>
      <w:pPr>
        <w:tabs>
          <w:tab w:val="num" w:pos="1080"/>
        </w:tabs>
        <w:ind w:left="1080" w:hanging="360"/>
      </w:pPr>
      <w:rPr>
        <w:rFonts w:ascii="Symbol" w:hAnsi="Symbol" w:hint="default"/>
        <w:color w:val="auto"/>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6">
    <w:nsid w:val="68944223"/>
    <w:multiLevelType w:val="hybridMultilevel"/>
    <w:tmpl w:val="03146A06"/>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C23A38"/>
    <w:multiLevelType w:val="hybridMultilevel"/>
    <w:tmpl w:val="680064D2"/>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C624CDC"/>
    <w:multiLevelType w:val="hybridMultilevel"/>
    <w:tmpl w:val="9F86735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6CDB6980"/>
    <w:multiLevelType w:val="hybridMultilevel"/>
    <w:tmpl w:val="5BF8BDD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0">
    <w:nsid w:val="759A7698"/>
    <w:multiLevelType w:val="hybridMultilevel"/>
    <w:tmpl w:val="17C2C396"/>
    <w:lvl w:ilvl="0" w:tplc="DE90BD6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75D837A3"/>
    <w:multiLevelType w:val="hybridMultilevel"/>
    <w:tmpl w:val="3D22A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87A37FE"/>
    <w:multiLevelType w:val="hybridMultilevel"/>
    <w:tmpl w:val="A2041A7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B4839BC"/>
    <w:multiLevelType w:val="hybridMultilevel"/>
    <w:tmpl w:val="D592C3E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abstractNum w:abstractNumId="45">
    <w:nsid w:val="7F2C1D7B"/>
    <w:multiLevelType w:val="hybridMultilevel"/>
    <w:tmpl w:val="5A04D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16"/>
  </w:num>
  <w:num w:numId="4">
    <w:abstractNumId w:val="26"/>
  </w:num>
  <w:num w:numId="5">
    <w:abstractNumId w:val="24"/>
  </w:num>
  <w:num w:numId="6">
    <w:abstractNumId w:val="2"/>
  </w:num>
  <w:num w:numId="7">
    <w:abstractNumId w:val="42"/>
  </w:num>
  <w:num w:numId="8">
    <w:abstractNumId w:val="17"/>
  </w:num>
  <w:num w:numId="9">
    <w:abstractNumId w:val="4"/>
  </w:num>
  <w:num w:numId="10">
    <w:abstractNumId w:val="10"/>
  </w:num>
  <w:num w:numId="11">
    <w:abstractNumId w:val="32"/>
  </w:num>
  <w:num w:numId="12">
    <w:abstractNumId w:val="11"/>
  </w:num>
  <w:num w:numId="13">
    <w:abstractNumId w:val="30"/>
  </w:num>
  <w:num w:numId="14">
    <w:abstractNumId w:val="14"/>
  </w:num>
  <w:num w:numId="15">
    <w:abstractNumId w:val="34"/>
  </w:num>
  <w:num w:numId="16">
    <w:abstractNumId w:val="13"/>
  </w:num>
  <w:num w:numId="17">
    <w:abstractNumId w:val="12"/>
  </w:num>
  <w:num w:numId="18">
    <w:abstractNumId w:val="1"/>
  </w:num>
  <w:num w:numId="19">
    <w:abstractNumId w:val="37"/>
  </w:num>
  <w:num w:numId="20">
    <w:abstractNumId w:val="36"/>
  </w:num>
  <w:num w:numId="21">
    <w:abstractNumId w:val="6"/>
  </w:num>
  <w:num w:numId="22">
    <w:abstractNumId w:val="27"/>
  </w:num>
  <w:num w:numId="23">
    <w:abstractNumId w:val="33"/>
  </w:num>
  <w:num w:numId="24">
    <w:abstractNumId w:val="15"/>
  </w:num>
  <w:num w:numId="25">
    <w:abstractNumId w:val="3"/>
  </w:num>
  <w:num w:numId="26">
    <w:abstractNumId w:val="29"/>
  </w:num>
  <w:num w:numId="27">
    <w:abstractNumId w:val="43"/>
  </w:num>
  <w:num w:numId="28">
    <w:abstractNumId w:val="8"/>
  </w:num>
  <w:num w:numId="29">
    <w:abstractNumId w:val="35"/>
  </w:num>
  <w:num w:numId="30">
    <w:abstractNumId w:val="44"/>
  </w:num>
  <w:num w:numId="31">
    <w:abstractNumId w:val="28"/>
  </w:num>
  <w:num w:numId="32">
    <w:abstractNumId w:val="23"/>
  </w:num>
  <w:num w:numId="33">
    <w:abstractNumId w:val="31"/>
  </w:num>
  <w:num w:numId="34">
    <w:abstractNumId w:val="22"/>
  </w:num>
  <w:num w:numId="35">
    <w:abstractNumId w:val="40"/>
  </w:num>
  <w:num w:numId="36">
    <w:abstractNumId w:val="40"/>
    <w:lvlOverride w:ilvl="0">
      <w:startOverride w:val="1"/>
    </w:lvlOverride>
  </w:num>
  <w:num w:numId="37">
    <w:abstractNumId w:val="20"/>
  </w:num>
  <w:num w:numId="38">
    <w:abstractNumId w:val="0"/>
  </w:num>
  <w:num w:numId="39">
    <w:abstractNumId w:val="41"/>
  </w:num>
  <w:num w:numId="40">
    <w:abstractNumId w:val="9"/>
  </w:num>
  <w:num w:numId="41">
    <w:abstractNumId w:val="45"/>
  </w:num>
  <w:num w:numId="42">
    <w:abstractNumId w:val="21"/>
  </w:num>
  <w:num w:numId="43">
    <w:abstractNumId w:val="18"/>
  </w:num>
  <w:num w:numId="44">
    <w:abstractNumId w:val="5"/>
  </w:num>
  <w:num w:numId="45">
    <w:abstractNumId w:val="39"/>
  </w:num>
  <w:num w:numId="46">
    <w:abstractNumId w:val="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567"/>
  <w:evenAndOddHeaders/>
  <w:noPunctuationKerning/>
  <w:characterSpacingControl w:val="doNotCompress"/>
  <w:hdrShapeDefaults>
    <o:shapedefaults v:ext="edit" spidmax="6145">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58C2"/>
    <w:rsid w:val="001175B4"/>
    <w:rsid w:val="0012142B"/>
    <w:rsid w:val="001227B0"/>
    <w:rsid w:val="00123376"/>
    <w:rsid w:val="00130CE3"/>
    <w:rsid w:val="001336C6"/>
    <w:rsid w:val="00137BE7"/>
    <w:rsid w:val="00142C45"/>
    <w:rsid w:val="00145424"/>
    <w:rsid w:val="00145D5F"/>
    <w:rsid w:val="001705DC"/>
    <w:rsid w:val="0018777F"/>
    <w:rsid w:val="001925EF"/>
    <w:rsid w:val="001A3A19"/>
    <w:rsid w:val="001A7E47"/>
    <w:rsid w:val="001D4BA8"/>
    <w:rsid w:val="001E1749"/>
    <w:rsid w:val="001F5811"/>
    <w:rsid w:val="002050CC"/>
    <w:rsid w:val="00206DC0"/>
    <w:rsid w:val="002222BC"/>
    <w:rsid w:val="002233D8"/>
    <w:rsid w:val="00240554"/>
    <w:rsid w:val="00246193"/>
    <w:rsid w:val="00251EEF"/>
    <w:rsid w:val="002542A3"/>
    <w:rsid w:val="00254ED0"/>
    <w:rsid w:val="00255D89"/>
    <w:rsid w:val="0026708A"/>
    <w:rsid w:val="00271166"/>
    <w:rsid w:val="00272F4E"/>
    <w:rsid w:val="00281EAA"/>
    <w:rsid w:val="00285375"/>
    <w:rsid w:val="0028738D"/>
    <w:rsid w:val="002953A5"/>
    <w:rsid w:val="00296F98"/>
    <w:rsid w:val="002A35E8"/>
    <w:rsid w:val="002A38BC"/>
    <w:rsid w:val="002B34DC"/>
    <w:rsid w:val="002C1F8F"/>
    <w:rsid w:val="002C3EA2"/>
    <w:rsid w:val="002E37AC"/>
    <w:rsid w:val="003005BD"/>
    <w:rsid w:val="003030F4"/>
    <w:rsid w:val="003046F0"/>
    <w:rsid w:val="00306307"/>
    <w:rsid w:val="00307CE5"/>
    <w:rsid w:val="0031520E"/>
    <w:rsid w:val="00324371"/>
    <w:rsid w:val="00327E98"/>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518F6"/>
    <w:rsid w:val="004535A4"/>
    <w:rsid w:val="00477783"/>
    <w:rsid w:val="004845E0"/>
    <w:rsid w:val="0048760A"/>
    <w:rsid w:val="00492913"/>
    <w:rsid w:val="004A6CC1"/>
    <w:rsid w:val="004B28B7"/>
    <w:rsid w:val="004B368D"/>
    <w:rsid w:val="004B57F3"/>
    <w:rsid w:val="004D17ED"/>
    <w:rsid w:val="004E420D"/>
    <w:rsid w:val="004F4D8F"/>
    <w:rsid w:val="005132E5"/>
    <w:rsid w:val="005243E3"/>
    <w:rsid w:val="00525F48"/>
    <w:rsid w:val="005363DD"/>
    <w:rsid w:val="00545BA3"/>
    <w:rsid w:val="00546D2C"/>
    <w:rsid w:val="00554E9C"/>
    <w:rsid w:val="00555074"/>
    <w:rsid w:val="005559D9"/>
    <w:rsid w:val="00560222"/>
    <w:rsid w:val="00561AFB"/>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1641"/>
    <w:rsid w:val="006339A0"/>
    <w:rsid w:val="00640014"/>
    <w:rsid w:val="00644953"/>
    <w:rsid w:val="00655AFE"/>
    <w:rsid w:val="00660E5F"/>
    <w:rsid w:val="00672B8B"/>
    <w:rsid w:val="00673303"/>
    <w:rsid w:val="006744E6"/>
    <w:rsid w:val="00676929"/>
    <w:rsid w:val="00680D2D"/>
    <w:rsid w:val="006819B0"/>
    <w:rsid w:val="00686753"/>
    <w:rsid w:val="006A2250"/>
    <w:rsid w:val="006C17A6"/>
    <w:rsid w:val="006C1FB8"/>
    <w:rsid w:val="006C407C"/>
    <w:rsid w:val="006D1FA2"/>
    <w:rsid w:val="006D2458"/>
    <w:rsid w:val="006F544C"/>
    <w:rsid w:val="00737F49"/>
    <w:rsid w:val="00740786"/>
    <w:rsid w:val="0074188F"/>
    <w:rsid w:val="00760E80"/>
    <w:rsid w:val="00761961"/>
    <w:rsid w:val="00766D1F"/>
    <w:rsid w:val="00771B0E"/>
    <w:rsid w:val="00783974"/>
    <w:rsid w:val="00783D9C"/>
    <w:rsid w:val="00790152"/>
    <w:rsid w:val="007A21D3"/>
    <w:rsid w:val="007B0128"/>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47FD8"/>
    <w:rsid w:val="0095076C"/>
    <w:rsid w:val="00952AF0"/>
    <w:rsid w:val="009602C6"/>
    <w:rsid w:val="00973036"/>
    <w:rsid w:val="00974A87"/>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7B28"/>
    <w:rsid w:val="00A31F67"/>
    <w:rsid w:val="00A3619A"/>
    <w:rsid w:val="00A41A77"/>
    <w:rsid w:val="00A655A6"/>
    <w:rsid w:val="00A7037D"/>
    <w:rsid w:val="00A71902"/>
    <w:rsid w:val="00A774E4"/>
    <w:rsid w:val="00A821D8"/>
    <w:rsid w:val="00A8585C"/>
    <w:rsid w:val="00A92321"/>
    <w:rsid w:val="00AA7466"/>
    <w:rsid w:val="00AB0789"/>
    <w:rsid w:val="00AB1FC9"/>
    <w:rsid w:val="00AE57D5"/>
    <w:rsid w:val="00AE710D"/>
    <w:rsid w:val="00AF78CC"/>
    <w:rsid w:val="00B102DF"/>
    <w:rsid w:val="00B220C1"/>
    <w:rsid w:val="00B242C0"/>
    <w:rsid w:val="00B30B70"/>
    <w:rsid w:val="00B328C2"/>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A64A7"/>
    <w:rsid w:val="00BB57CD"/>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39A5"/>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50F20"/>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71093"/>
    <w:rsid w:val="00E92CBA"/>
    <w:rsid w:val="00E93AE4"/>
    <w:rsid w:val="00E960C8"/>
    <w:rsid w:val="00EA5579"/>
    <w:rsid w:val="00EB1603"/>
    <w:rsid w:val="00EB1B10"/>
    <w:rsid w:val="00EB2641"/>
    <w:rsid w:val="00EB461E"/>
    <w:rsid w:val="00ED15B8"/>
    <w:rsid w:val="00ED414F"/>
    <w:rsid w:val="00EE1FAA"/>
    <w:rsid w:val="00EE6CE2"/>
    <w:rsid w:val="00EF1CA8"/>
    <w:rsid w:val="00EF20E5"/>
    <w:rsid w:val="00EF3820"/>
    <w:rsid w:val="00F014E3"/>
    <w:rsid w:val="00F06432"/>
    <w:rsid w:val="00F11884"/>
    <w:rsid w:val="00F20FB1"/>
    <w:rsid w:val="00F27050"/>
    <w:rsid w:val="00F41F04"/>
    <w:rsid w:val="00F44338"/>
    <w:rsid w:val="00F45052"/>
    <w:rsid w:val="00F57118"/>
    <w:rsid w:val="00F612A9"/>
    <w:rsid w:val="00F6682D"/>
    <w:rsid w:val="00F74042"/>
    <w:rsid w:val="00F75AA1"/>
    <w:rsid w:val="00F824C7"/>
    <w:rsid w:val="00F9005E"/>
    <w:rsid w:val="00FA0F96"/>
    <w:rsid w:val="00FA46AD"/>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14:docId w14:val="07F94AE8"/>
  <w15:docId w15:val="{3FD074EF-608C-4DD3-80BF-320CB679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FB1"/>
    <w:pPr>
      <w:spacing w:line="264"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7B0128"/>
    <w:pPr>
      <w:keepNext/>
      <w:spacing w:before="24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5"/>
      </w:numPr>
      <w:spacing w:before="90"/>
    </w:pPr>
  </w:style>
  <w:style w:type="character" w:styleId="PageNumber">
    <w:name w:val="page number"/>
    <w:rsid w:val="0092659B"/>
    <w:rPr>
      <w:color w:val="auto"/>
      <w:sz w:val="24"/>
    </w:rPr>
  </w:style>
  <w:style w:type="paragraph" w:customStyle="1" w:styleId="TableText">
    <w:name w:val="TableText"/>
    <w:basedOn w:val="Normal"/>
    <w:rsid w:val="00B328C2"/>
    <w:pPr>
      <w:spacing w:before="80" w:after="80"/>
    </w:pPr>
    <w:rPr>
      <w:sz w:val="19"/>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styleId="BalloonText">
    <w:name w:val="Balloon Text"/>
    <w:basedOn w:val="Normal"/>
    <w:link w:val="BalloonTextChar"/>
    <w:uiPriority w:val="99"/>
    <w:semiHidden/>
    <w:unhideWhenUsed/>
    <w:rsid w:val="001158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C2"/>
    <w:rPr>
      <w:rFonts w:ascii="Tahoma" w:hAnsi="Tahoma" w:cs="Tahoma"/>
      <w:sz w:val="16"/>
      <w:szCs w:val="16"/>
      <w:lang w:eastAsia="en-US"/>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9"/>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Georgia" w:hAnsi="Georgia"/>
      <w:sz w:val="21"/>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3"/>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styleId="FollowedHyperlink">
    <w:name w:val="FollowedHyperlink"/>
    <w:basedOn w:val="DefaultParagraphFont"/>
    <w:uiPriority w:val="99"/>
    <w:semiHidden/>
    <w:unhideWhenUsed/>
    <w:rsid w:val="001158C2"/>
    <w:rPr>
      <w:color w:val="800080" w:themeColor="followedHyperlink"/>
      <w:u w:val="single"/>
    </w:rPr>
  </w:style>
  <w:style w:type="character" w:styleId="CommentReference">
    <w:name w:val="annotation reference"/>
    <w:basedOn w:val="DefaultParagraphFont"/>
    <w:uiPriority w:val="99"/>
    <w:semiHidden/>
    <w:unhideWhenUsed/>
    <w:rsid w:val="00974A87"/>
    <w:rPr>
      <w:sz w:val="16"/>
      <w:szCs w:val="16"/>
    </w:rPr>
  </w:style>
  <w:style w:type="paragraph" w:styleId="CommentText">
    <w:name w:val="annotation text"/>
    <w:basedOn w:val="Normal"/>
    <w:link w:val="CommentTextChar"/>
    <w:uiPriority w:val="99"/>
    <w:semiHidden/>
    <w:unhideWhenUsed/>
    <w:rsid w:val="00974A87"/>
    <w:pPr>
      <w:spacing w:line="240" w:lineRule="auto"/>
    </w:pPr>
    <w:rPr>
      <w:sz w:val="20"/>
      <w:szCs w:val="20"/>
    </w:rPr>
  </w:style>
  <w:style w:type="character" w:customStyle="1" w:styleId="CommentTextChar">
    <w:name w:val="Comment Text Char"/>
    <w:basedOn w:val="DefaultParagraphFont"/>
    <w:link w:val="CommentText"/>
    <w:uiPriority w:val="99"/>
    <w:semiHidden/>
    <w:rsid w:val="00974A87"/>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974A87"/>
    <w:rPr>
      <w:b/>
      <w:bCs/>
    </w:rPr>
  </w:style>
  <w:style w:type="character" w:customStyle="1" w:styleId="CommentSubjectChar">
    <w:name w:val="Comment Subject Char"/>
    <w:basedOn w:val="CommentTextChar"/>
    <w:link w:val="CommentSubject"/>
    <w:uiPriority w:val="99"/>
    <w:semiHidden/>
    <w:rsid w:val="00974A87"/>
    <w:rPr>
      <w:rFonts w:ascii="Georgia" w:hAnsi="Georgia"/>
      <w:b/>
      <w:bCs/>
      <w:lang w:eastAsia="en-US"/>
    </w:rPr>
  </w:style>
  <w:style w:type="paragraph" w:styleId="Revision">
    <w:name w:val="Revision"/>
    <w:hidden/>
    <w:uiPriority w:val="99"/>
    <w:semiHidden/>
    <w:rsid w:val="00D50F20"/>
    <w:rPr>
      <w:rFonts w:ascii="Georgia" w:hAnsi="Georg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BC2A1B-276B-4BCC-A39F-A053AEF3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C82259F</Template>
  <TotalTime>2</TotalTime>
  <Pages>4</Pages>
  <Words>1079</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Purchasing Approval Process: Ministry of Health Purchasing Guidelines</vt:lpstr>
    </vt:vector>
  </TitlesOfParts>
  <Company>Ministry of Health</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Purchasing Approval Process: Ministry of Health Purchasing Guidelines</dc:title>
  <dc:creator>Ministry of Health</dc:creator>
  <cp:lastModifiedBy>Jane Adam</cp:lastModifiedBy>
  <cp:revision>3</cp:revision>
  <cp:lastPrinted>2014-10-20T03:59:00Z</cp:lastPrinted>
  <dcterms:created xsi:type="dcterms:W3CDTF">2018-03-13T02:40:00Z</dcterms:created>
  <dcterms:modified xsi:type="dcterms:W3CDTF">2018-03-13T02:42:00Z</dcterms:modified>
</cp:coreProperties>
</file>