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435" w14:textId="4D02921C" w:rsidR="00571CE9" w:rsidRPr="005C2A93" w:rsidRDefault="00571CE9" w:rsidP="008A5EF0">
      <w:pPr>
        <w:jc w:val="center"/>
        <w:rPr>
          <w:b/>
          <w:bCs/>
          <w:sz w:val="44"/>
          <w:szCs w:val="44"/>
        </w:rPr>
      </w:pPr>
      <w:r w:rsidRPr="005C2A93">
        <w:rPr>
          <w:b/>
          <w:bCs/>
          <w:sz w:val="44"/>
          <w:szCs w:val="44"/>
        </w:rPr>
        <w:t>E</w:t>
      </w:r>
      <w:r w:rsidR="00753787">
        <w:rPr>
          <w:b/>
          <w:bCs/>
          <w:sz w:val="44"/>
          <w:szCs w:val="44"/>
        </w:rPr>
        <w:t xml:space="preserve">nabling </w:t>
      </w:r>
      <w:r w:rsidRPr="005C2A93">
        <w:rPr>
          <w:b/>
          <w:bCs/>
          <w:sz w:val="44"/>
          <w:szCs w:val="44"/>
        </w:rPr>
        <w:t>G</w:t>
      </w:r>
      <w:r w:rsidR="00753787">
        <w:rPr>
          <w:b/>
          <w:bCs/>
          <w:sz w:val="44"/>
          <w:szCs w:val="44"/>
        </w:rPr>
        <w:t xml:space="preserve">ood </w:t>
      </w:r>
      <w:r w:rsidRPr="005C2A93">
        <w:rPr>
          <w:b/>
          <w:bCs/>
          <w:sz w:val="44"/>
          <w:szCs w:val="44"/>
        </w:rPr>
        <w:t>L</w:t>
      </w:r>
      <w:r w:rsidR="00753787">
        <w:rPr>
          <w:b/>
          <w:bCs/>
          <w:sz w:val="44"/>
          <w:szCs w:val="44"/>
        </w:rPr>
        <w:t>ives</w:t>
      </w:r>
      <w:r w:rsidRPr="005C2A93">
        <w:rPr>
          <w:b/>
          <w:bCs/>
          <w:sz w:val="44"/>
          <w:szCs w:val="44"/>
        </w:rPr>
        <w:t xml:space="preserve"> in Education</w:t>
      </w:r>
    </w:p>
    <w:p w14:paraId="219B3290" w14:textId="77777777" w:rsidR="006564C1" w:rsidRDefault="006564C1" w:rsidP="00571CE9">
      <w:pPr>
        <w:rPr>
          <w:b/>
          <w:bCs/>
          <w:sz w:val="32"/>
          <w:szCs w:val="32"/>
        </w:rPr>
      </w:pPr>
    </w:p>
    <w:p w14:paraId="491B8519" w14:textId="398AEC62" w:rsidR="00571CE9" w:rsidRDefault="0022176D" w:rsidP="00571CE9">
      <w:r>
        <w:t xml:space="preserve">When </w:t>
      </w:r>
      <w:r w:rsidR="00571CE9">
        <w:t xml:space="preserve">EGL principles </w:t>
      </w:r>
      <w:r>
        <w:t xml:space="preserve">are </w:t>
      </w:r>
      <w:r w:rsidR="00571CE9">
        <w:t>embedded in educational settings</w:t>
      </w:r>
      <w:r>
        <w:t xml:space="preserve">, they </w:t>
      </w:r>
      <w:r w:rsidR="00571CE9">
        <w:t xml:space="preserve">allow for a genuinely inclusive, accessible, and mana enhancing educational experience for </w:t>
      </w:r>
      <w:r w:rsidR="00FD28F8">
        <w:t xml:space="preserve">every </w:t>
      </w:r>
      <w:r w:rsidR="00571CE9">
        <w:t>disabled pe</w:t>
      </w:r>
      <w:r w:rsidR="00FD28F8">
        <w:t xml:space="preserve">rson and their </w:t>
      </w:r>
      <w:proofErr w:type="spellStart"/>
      <w:r w:rsidR="00FD28F8">
        <w:t>wh</w:t>
      </w:r>
      <w:r w:rsidR="00FD28F8">
        <w:rPr>
          <w:rFonts w:cstheme="minorHAnsi"/>
        </w:rPr>
        <w:t>ā</w:t>
      </w:r>
      <w:r w:rsidR="00FD28F8">
        <w:t>nau</w:t>
      </w:r>
      <w:proofErr w:type="spellEnd"/>
      <w:r w:rsidR="00FD28F8">
        <w:t>, irrespective</w:t>
      </w:r>
      <w:r w:rsidR="00571CE9">
        <w:t xml:space="preserve"> of disability, perceived level of needs, adequacy or inadequacy of specialist supports and resources. </w:t>
      </w:r>
      <w:r w:rsidR="00A52F29">
        <w:t>A</w:t>
      </w:r>
      <w:r w:rsidR="00571CE9">
        <w:t xml:space="preserve">uthentic choice and control over one’s </w:t>
      </w:r>
      <w:r w:rsidR="00162AEE">
        <w:t xml:space="preserve">learning and </w:t>
      </w:r>
      <w:r w:rsidR="00571CE9">
        <w:t xml:space="preserve">educational </w:t>
      </w:r>
      <w:r w:rsidR="00716011">
        <w:t>journey</w:t>
      </w:r>
      <w:r w:rsidR="00A52F29">
        <w:t xml:space="preserve"> through an EGL approach </w:t>
      </w:r>
      <w:r w:rsidR="009045EA">
        <w:t xml:space="preserve">can </w:t>
      </w:r>
      <w:r w:rsidR="00571CE9">
        <w:t>significantly impact longer term life outcomes for disabled people, including employment opportunities, career pathways, meaningful</w:t>
      </w:r>
      <w:r w:rsidR="001C581A">
        <w:t xml:space="preserve"> relationships</w:t>
      </w:r>
      <w:r w:rsidR="005D7A7E">
        <w:t>, full</w:t>
      </w:r>
      <w:r w:rsidR="00571CE9">
        <w:t xml:space="preserve"> participation in the community, and effective citizenship; all of which are key aspects of </w:t>
      </w:r>
      <w:r w:rsidR="006B2EA7">
        <w:t xml:space="preserve">living </w:t>
      </w:r>
      <w:r w:rsidR="00571CE9">
        <w:t xml:space="preserve">a good life. </w:t>
      </w:r>
    </w:p>
    <w:p w14:paraId="511D8FD1" w14:textId="77777777" w:rsidR="00571CE9" w:rsidRDefault="00571CE9" w:rsidP="00571CE9"/>
    <w:p w14:paraId="7623189E" w14:textId="77777777" w:rsidR="00571CE9" w:rsidRDefault="00571CE9" w:rsidP="00571C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Understanding EGL principles in the educational context:</w:t>
      </w:r>
    </w:p>
    <w:p w14:paraId="3B74617B" w14:textId="22A87D12" w:rsidR="00571CE9" w:rsidRDefault="00571CE9" w:rsidP="00A23399">
      <w:pPr>
        <w:spacing w:before="240"/>
      </w:pPr>
      <w:r w:rsidRPr="002D2E7A">
        <w:rPr>
          <w:b/>
          <w:bCs/>
        </w:rPr>
        <w:t>Self-determination</w:t>
      </w:r>
      <w:r>
        <w:t xml:space="preserve"> refers to disabled </w:t>
      </w:r>
      <w:r w:rsidR="00C6053C">
        <w:t>learners</w:t>
      </w:r>
      <w:r w:rsidR="001A79C5">
        <w:rPr>
          <w:rStyle w:val="FootnoteReference"/>
        </w:rPr>
        <w:footnoteReference w:id="1"/>
      </w:r>
      <w:r w:rsidR="00C6053C">
        <w:t xml:space="preserve"> </w:t>
      </w:r>
      <w:r>
        <w:t xml:space="preserve">and </w:t>
      </w:r>
      <w:r w:rsidR="00AA5327">
        <w:t xml:space="preserve">their </w:t>
      </w:r>
      <w:proofErr w:type="spellStart"/>
      <w:r>
        <w:t>wh</w:t>
      </w:r>
      <w:r>
        <w:rPr>
          <w:rFonts w:cstheme="minorHAnsi"/>
        </w:rPr>
        <w:t>ā</w:t>
      </w:r>
      <w:r>
        <w:t>nau</w:t>
      </w:r>
      <w:proofErr w:type="spellEnd"/>
      <w:r>
        <w:t xml:space="preserve"> having voice and agency as they access educational opportunities throughout their life span, across a range of settings. Self-determination ensures that disabled </w:t>
      </w:r>
      <w:r w:rsidR="000668C2">
        <w:t xml:space="preserve">learners </w:t>
      </w:r>
      <w:r>
        <w:t>have choice and control over the types/level of supports, accommodations, and adaptations they receive, and that they fully participate in their learning journey to achieve their highest potential</w:t>
      </w:r>
      <w:r w:rsidR="00DF18E9">
        <w:t xml:space="preserve"> and aspire towards creating a good </w:t>
      </w:r>
      <w:r w:rsidR="004F032B">
        <w:t xml:space="preserve">purposeful </w:t>
      </w:r>
      <w:r w:rsidR="00DF18E9">
        <w:t xml:space="preserve">life. </w:t>
      </w:r>
    </w:p>
    <w:p w14:paraId="7ACC7DBA" w14:textId="77777777" w:rsidR="00571CE9" w:rsidRDefault="00571CE9" w:rsidP="00571CE9"/>
    <w:p w14:paraId="120044CE" w14:textId="47AB5A6F" w:rsidR="00571CE9" w:rsidRDefault="00571CE9" w:rsidP="00571CE9">
      <w:r w:rsidRPr="002D2E7A">
        <w:rPr>
          <w:b/>
          <w:bCs/>
        </w:rPr>
        <w:t>Beginning early</w:t>
      </w:r>
      <w:r>
        <w:t xml:space="preserve"> implies that when</w:t>
      </w:r>
      <w:r w:rsidR="0079648A">
        <w:t xml:space="preserve">ever </w:t>
      </w:r>
      <w:r>
        <w:t>disabled</w:t>
      </w:r>
      <w:r w:rsidR="00AE2BBB">
        <w:t xml:space="preserve"> learners</w:t>
      </w:r>
      <w:r>
        <w:t xml:space="preserve">, their </w:t>
      </w:r>
      <w:proofErr w:type="spellStart"/>
      <w:r>
        <w:t>wh</w:t>
      </w:r>
      <w:r w:rsidR="0072122E">
        <w:rPr>
          <w:rFonts w:cstheme="minorHAnsi"/>
        </w:rPr>
        <w:t>ā</w:t>
      </w:r>
      <w:r>
        <w:t>nau</w:t>
      </w:r>
      <w:proofErr w:type="spellEnd"/>
      <w:r>
        <w:t xml:space="preserve"> or educators recognise a need for </w:t>
      </w:r>
      <w:r w:rsidR="00034FBA">
        <w:t xml:space="preserve">learning </w:t>
      </w:r>
      <w:r>
        <w:t xml:space="preserve">supports, </w:t>
      </w:r>
      <w:r w:rsidR="0072122E">
        <w:t>accommodation,</w:t>
      </w:r>
      <w:r>
        <w:t xml:space="preserve"> and adaptations, these </w:t>
      </w:r>
      <w:r w:rsidR="000A5734">
        <w:t xml:space="preserve">will be </w:t>
      </w:r>
      <w:r>
        <w:t xml:space="preserve">provided as soon as possible without unnecessary barriers such as lengthy assessments, procurement processes, and waitlists. </w:t>
      </w:r>
      <w:r w:rsidR="000A5734">
        <w:t>Early intervention</w:t>
      </w:r>
      <w:r w:rsidR="00DF3F31">
        <w:t xml:space="preserve"> and en</w:t>
      </w:r>
      <w:r>
        <w:t>suring smooth transitions</w:t>
      </w:r>
      <w:r w:rsidR="00D113FE">
        <w:t xml:space="preserve"> are</w:t>
      </w:r>
      <w:r>
        <w:t xml:space="preserve"> essential across various life stages of disabled </w:t>
      </w:r>
      <w:r w:rsidR="0072122E">
        <w:t>learners and</w:t>
      </w:r>
      <w:r w:rsidR="00034FBA">
        <w:t xml:space="preserve"> </w:t>
      </w:r>
      <w:r w:rsidR="00A22CFC">
        <w:t xml:space="preserve">allows them to </w:t>
      </w:r>
      <w:r w:rsidR="00D14F87">
        <w:t xml:space="preserve">aspire and </w:t>
      </w:r>
      <w:r w:rsidR="00D113FE">
        <w:t>envision a good</w:t>
      </w:r>
      <w:r w:rsidR="00D14F87">
        <w:t xml:space="preserve"> </w:t>
      </w:r>
      <w:r w:rsidR="007F5F0A">
        <w:t xml:space="preserve">meaningful </w:t>
      </w:r>
      <w:r w:rsidR="00D113FE">
        <w:t>li</w:t>
      </w:r>
      <w:r>
        <w:t>fe</w:t>
      </w:r>
      <w:r w:rsidR="007F5F0A">
        <w:t xml:space="preserve"> for themselves</w:t>
      </w:r>
      <w:r>
        <w:t xml:space="preserve">. </w:t>
      </w:r>
    </w:p>
    <w:p w14:paraId="02F3B1E0" w14:textId="77777777" w:rsidR="00571CE9" w:rsidRDefault="00571CE9" w:rsidP="00571CE9"/>
    <w:p w14:paraId="59FB9080" w14:textId="72DE7CCB" w:rsidR="00571CE9" w:rsidRDefault="00571CE9" w:rsidP="00571CE9">
      <w:r w:rsidRPr="002D2E7A">
        <w:rPr>
          <w:b/>
          <w:bCs/>
        </w:rPr>
        <w:t>Person-centred</w:t>
      </w:r>
      <w:r>
        <w:t xml:space="preserve"> means th</w:t>
      </w:r>
      <w:r w:rsidR="00C452AE">
        <w:t>at</w:t>
      </w:r>
      <w:r>
        <w:t xml:space="preserve"> d</w:t>
      </w:r>
      <w:r w:rsidRPr="002D2E7A">
        <w:t>isabled</w:t>
      </w:r>
      <w:r>
        <w:t xml:space="preserve"> </w:t>
      </w:r>
      <w:r w:rsidR="009B21C5">
        <w:t xml:space="preserve">learners and their </w:t>
      </w:r>
      <w:proofErr w:type="spellStart"/>
      <w:r w:rsidR="009B21C5">
        <w:t>wh</w:t>
      </w:r>
      <w:r w:rsidR="009B21C5">
        <w:rPr>
          <w:rFonts w:cstheme="minorHAnsi"/>
        </w:rPr>
        <w:t>ā</w:t>
      </w:r>
      <w:r w:rsidR="009B21C5">
        <w:t>nau</w:t>
      </w:r>
      <w:proofErr w:type="spellEnd"/>
      <w:r w:rsidR="009B21C5">
        <w:t xml:space="preserve"> </w:t>
      </w:r>
      <w:r>
        <w:t>will remain at the centre of all planning and decision</w:t>
      </w:r>
      <w:r w:rsidR="000516B0">
        <w:t xml:space="preserve"> making</w:t>
      </w:r>
      <w:r>
        <w:t xml:space="preserve"> throughout their educational journey; and all learning/teaching will meet </w:t>
      </w:r>
      <w:r w:rsidRPr="002D2E7A">
        <w:t>individual needs</w:t>
      </w:r>
      <w:r>
        <w:t xml:space="preserve">, interests, strengths, </w:t>
      </w:r>
      <w:r w:rsidRPr="002D2E7A">
        <w:t>goals</w:t>
      </w:r>
      <w:r>
        <w:t xml:space="preserve"> and aspirations. </w:t>
      </w:r>
      <w:r w:rsidR="00C452AE">
        <w:t>E</w:t>
      </w:r>
      <w:r>
        <w:t>ducational systems and environments will offer individualised supports</w:t>
      </w:r>
      <w:r w:rsidR="00374381">
        <w:t>, communication</w:t>
      </w:r>
      <w:r>
        <w:t xml:space="preserve"> and teaching strategies that meet disabled </w:t>
      </w:r>
      <w:r w:rsidR="002A29B9">
        <w:t>learners’</w:t>
      </w:r>
      <w:r w:rsidR="00AB0B72">
        <w:t xml:space="preserve"> capability </w:t>
      </w:r>
      <w:r>
        <w:t xml:space="preserve">and </w:t>
      </w:r>
      <w:r w:rsidR="00B027C4">
        <w:t>learning needs</w:t>
      </w:r>
      <w:r>
        <w:t xml:space="preserve">; and value </w:t>
      </w:r>
      <w:r w:rsidR="00892E39">
        <w:t xml:space="preserve">disabled </w:t>
      </w:r>
      <w:r w:rsidR="0016228B">
        <w:t>learners v</w:t>
      </w:r>
      <w:r>
        <w:t xml:space="preserve">ision and priorities. </w:t>
      </w:r>
    </w:p>
    <w:p w14:paraId="22E36C33" w14:textId="77777777" w:rsidR="00571CE9" w:rsidRPr="002D2E7A" w:rsidRDefault="00571CE9" w:rsidP="00571CE9"/>
    <w:p w14:paraId="09BAA803" w14:textId="385A07A5" w:rsidR="00571CE9" w:rsidRDefault="00571CE9" w:rsidP="00571CE9">
      <w:r w:rsidRPr="002D2E7A">
        <w:rPr>
          <w:b/>
          <w:bCs/>
        </w:rPr>
        <w:t>Ordinary life outcomes</w:t>
      </w:r>
      <w:r>
        <w:t xml:space="preserve"> </w:t>
      </w:r>
      <w:r w:rsidR="009E3C76">
        <w:t>mean</w:t>
      </w:r>
      <w:r>
        <w:t xml:space="preserve"> disabled </w:t>
      </w:r>
      <w:r w:rsidR="009E3C76">
        <w:t xml:space="preserve">learners </w:t>
      </w:r>
      <w:r>
        <w:t>will have the same educational opportunities as their non</w:t>
      </w:r>
      <w:r w:rsidR="00D26FD2">
        <w:t>-</w:t>
      </w:r>
      <w:r>
        <w:t xml:space="preserve">disabled </w:t>
      </w:r>
      <w:proofErr w:type="spellStart"/>
      <w:r>
        <w:t>wh</w:t>
      </w:r>
      <w:r w:rsidR="00D26FD2">
        <w:rPr>
          <w:rFonts w:cstheme="minorHAnsi"/>
        </w:rPr>
        <w:t>ā</w:t>
      </w:r>
      <w:r>
        <w:t>nau</w:t>
      </w:r>
      <w:proofErr w:type="spellEnd"/>
      <w:r>
        <w:t>, friends, neighbours and community peers,</w:t>
      </w:r>
      <w:r w:rsidR="00F47F7A">
        <w:t xml:space="preserve"> which </w:t>
      </w:r>
      <w:r>
        <w:t xml:space="preserve">prepare them for participation in their local communities, the workforce, and allow fulfilment of their </w:t>
      </w:r>
      <w:r w:rsidR="003A7600">
        <w:t>roles/</w:t>
      </w:r>
      <w:r w:rsidR="00222973">
        <w:t xml:space="preserve"> </w:t>
      </w:r>
      <w:r>
        <w:t xml:space="preserve">responsibilities as a </w:t>
      </w:r>
      <w:r>
        <w:lastRenderedPageBreak/>
        <w:t>valued and contributing citizen in society. Education will be available and accessible in everyday places and spaces</w:t>
      </w:r>
      <w:r w:rsidR="0027544E">
        <w:t xml:space="preserve"> for all disabled </w:t>
      </w:r>
      <w:r w:rsidR="00222973">
        <w:t xml:space="preserve">learners. </w:t>
      </w:r>
      <w:r w:rsidR="00790BA5">
        <w:t xml:space="preserve"> </w:t>
      </w:r>
    </w:p>
    <w:p w14:paraId="58CC3981" w14:textId="77777777" w:rsidR="00571CE9" w:rsidRPr="002D2E7A" w:rsidRDefault="00571CE9" w:rsidP="00571CE9"/>
    <w:p w14:paraId="2DC6EF78" w14:textId="49C82ACB" w:rsidR="00571CE9" w:rsidRDefault="00571CE9" w:rsidP="00571CE9">
      <w:r w:rsidRPr="002D2E7A">
        <w:rPr>
          <w:b/>
          <w:bCs/>
        </w:rPr>
        <w:t>Mainstream first</w:t>
      </w:r>
      <w:r>
        <w:t xml:space="preserve"> means disabled </w:t>
      </w:r>
      <w:r w:rsidR="007E6ACB">
        <w:t xml:space="preserve">learners </w:t>
      </w:r>
      <w:r>
        <w:t xml:space="preserve">and </w:t>
      </w:r>
      <w:r w:rsidR="00BD00CF">
        <w:t xml:space="preserve">their </w:t>
      </w:r>
      <w:proofErr w:type="spellStart"/>
      <w:r>
        <w:t>whānau</w:t>
      </w:r>
      <w:proofErr w:type="spellEnd"/>
      <w:r>
        <w:t xml:space="preserve"> will </w:t>
      </w:r>
      <w:r w:rsidR="004F7E5B">
        <w:t xml:space="preserve">be able to </w:t>
      </w:r>
      <w:r w:rsidR="00502172">
        <w:t xml:space="preserve">choose their local </w:t>
      </w:r>
      <w:r w:rsidR="007E6ACB">
        <w:t xml:space="preserve">community </w:t>
      </w:r>
      <w:r w:rsidR="00502172">
        <w:t>mainstream education options freely and confidently</w:t>
      </w:r>
      <w:r w:rsidR="00645384">
        <w:t>.</w:t>
      </w:r>
      <w:r w:rsidR="00502172">
        <w:t xml:space="preserve"> </w:t>
      </w:r>
      <w:r w:rsidR="00645384" w:rsidRPr="00645384">
        <w:t xml:space="preserve">Principles of universal design will be embedded across education settings and wider community to ensure inclusion. </w:t>
      </w:r>
      <w:r w:rsidR="00645384">
        <w:t>In addition, e</w:t>
      </w:r>
      <w:r>
        <w:t>ducation providers will commit resources to ensure full participation</w:t>
      </w:r>
      <w:r w:rsidR="008B533C">
        <w:t xml:space="preserve">, accessibility, accommodations, and adaptations </w:t>
      </w:r>
      <w:r>
        <w:t>across educational settings</w:t>
      </w:r>
      <w:r w:rsidR="004F074A">
        <w:t>;</w:t>
      </w:r>
      <w:r>
        <w:t xml:space="preserve"> </w:t>
      </w:r>
      <w:r w:rsidR="00341188">
        <w:t xml:space="preserve">and </w:t>
      </w:r>
      <w:r w:rsidR="004F074A">
        <w:t>train</w:t>
      </w:r>
      <w:r>
        <w:t xml:space="preserve"> staff to offer quality inclusive </w:t>
      </w:r>
      <w:r w:rsidR="00783014">
        <w:t>learning opportunities</w:t>
      </w:r>
      <w:r w:rsidR="00596A63">
        <w:t>.</w:t>
      </w:r>
      <w:r w:rsidR="00645384">
        <w:t xml:space="preserve"> </w:t>
      </w:r>
    </w:p>
    <w:p w14:paraId="43DD8DC2" w14:textId="77777777" w:rsidR="00571CE9" w:rsidRPr="002D2E7A" w:rsidRDefault="00571CE9" w:rsidP="00571CE9"/>
    <w:p w14:paraId="25942A0A" w14:textId="0F9FD3E8" w:rsidR="00571CE9" w:rsidRDefault="00571CE9" w:rsidP="00571CE9">
      <w:r w:rsidRPr="002D2E7A">
        <w:rPr>
          <w:b/>
          <w:bCs/>
        </w:rPr>
        <w:t>Mana enhancing</w:t>
      </w:r>
      <w:r>
        <w:t xml:space="preserve"> principle means </w:t>
      </w:r>
      <w:r w:rsidR="00550923">
        <w:t xml:space="preserve">learning experiences and </w:t>
      </w:r>
      <w:r>
        <w:t xml:space="preserve">education for disabled </w:t>
      </w:r>
      <w:r w:rsidR="002A2085">
        <w:t xml:space="preserve">learners </w:t>
      </w:r>
      <w:r>
        <w:t>will</w:t>
      </w:r>
      <w:r w:rsidRPr="00527623">
        <w:t xml:space="preserve"> </w:t>
      </w:r>
      <w:r w:rsidR="005D30E1">
        <w:t>acknowledge and highlight</w:t>
      </w:r>
      <w:r>
        <w:t xml:space="preserve"> </w:t>
      </w:r>
      <w:r w:rsidRPr="00527623">
        <w:t>their strengths, interests, abilities</w:t>
      </w:r>
      <w:r w:rsidR="00772773">
        <w:t>,</w:t>
      </w:r>
      <w:r w:rsidR="00B50D79">
        <w:t xml:space="preserve"> aspirations</w:t>
      </w:r>
      <w:r w:rsidR="00772773">
        <w:t xml:space="preserve"> and cultures</w:t>
      </w:r>
      <w:r w:rsidR="00B50D79">
        <w:t xml:space="preserve"> </w:t>
      </w:r>
      <w:r>
        <w:t xml:space="preserve">in </w:t>
      </w:r>
      <w:r w:rsidRPr="00345EBA">
        <w:t>inclusive</w:t>
      </w:r>
      <w:r>
        <w:t xml:space="preserve"> learning environment</w:t>
      </w:r>
      <w:r w:rsidR="00B50D79">
        <w:t>s</w:t>
      </w:r>
      <w:r w:rsidR="00363BC0">
        <w:t xml:space="preserve">. </w:t>
      </w:r>
      <w:r w:rsidR="00DA467C">
        <w:t>D</w:t>
      </w:r>
      <w:r>
        <w:t xml:space="preserve">isabled </w:t>
      </w:r>
      <w:r w:rsidR="00667799">
        <w:t xml:space="preserve">learners </w:t>
      </w:r>
      <w:r w:rsidR="00DA467C">
        <w:t xml:space="preserve">and their </w:t>
      </w:r>
      <w:proofErr w:type="spellStart"/>
      <w:r w:rsidR="00DA467C">
        <w:t>wh</w:t>
      </w:r>
      <w:r w:rsidR="00DA467C">
        <w:rPr>
          <w:rFonts w:cstheme="minorHAnsi"/>
        </w:rPr>
        <w:t>ā</w:t>
      </w:r>
      <w:r w:rsidR="00DA467C">
        <w:t>nau</w:t>
      </w:r>
      <w:proofErr w:type="spellEnd"/>
      <w:r w:rsidR="00DA467C">
        <w:t xml:space="preserve"> </w:t>
      </w:r>
      <w:r>
        <w:t xml:space="preserve">will be respected, treated with dignity, </w:t>
      </w:r>
      <w:r w:rsidR="00655031" w:rsidRPr="00655031">
        <w:t>valued</w:t>
      </w:r>
      <w:r w:rsidR="00700E48">
        <w:t xml:space="preserve"> and </w:t>
      </w:r>
      <w:r w:rsidR="00655031" w:rsidRPr="00655031">
        <w:t>celebrated</w:t>
      </w:r>
      <w:r w:rsidR="00655031">
        <w:t>,</w:t>
      </w:r>
      <w:r w:rsidR="00655031" w:rsidRPr="00655031">
        <w:t xml:space="preserve"> </w:t>
      </w:r>
      <w:r w:rsidR="00D82277">
        <w:t xml:space="preserve">so they may develop </w:t>
      </w:r>
      <w:r>
        <w:t xml:space="preserve">strong positive </w:t>
      </w:r>
      <w:r w:rsidR="00363BC0">
        <w:t>identit</w:t>
      </w:r>
      <w:r w:rsidR="00D82277">
        <w:t>ies</w:t>
      </w:r>
      <w:r w:rsidR="00363BC0">
        <w:t xml:space="preserve"> and </w:t>
      </w:r>
      <w:r w:rsidR="00770BE9">
        <w:t xml:space="preserve">a </w:t>
      </w:r>
      <w:r>
        <w:t>sense of belonging within their educational setting</w:t>
      </w:r>
      <w:r w:rsidR="00770BE9">
        <w:t xml:space="preserve"> and wider </w:t>
      </w:r>
      <w:r>
        <w:t>community</w:t>
      </w:r>
      <w:r w:rsidR="00770BE9">
        <w:t>.</w:t>
      </w:r>
    </w:p>
    <w:p w14:paraId="401D7DF3" w14:textId="77777777" w:rsidR="00571CE9" w:rsidRPr="002D2E7A" w:rsidRDefault="00571CE9" w:rsidP="00571CE9"/>
    <w:p w14:paraId="4675B595" w14:textId="750C0ECA" w:rsidR="00571CE9" w:rsidRDefault="00571CE9" w:rsidP="00571CE9">
      <w:r w:rsidRPr="002D2E7A">
        <w:rPr>
          <w:b/>
          <w:bCs/>
        </w:rPr>
        <w:t>Easy to use</w:t>
      </w:r>
      <w:r>
        <w:rPr>
          <w:b/>
          <w:bCs/>
        </w:rPr>
        <w:t xml:space="preserve"> </w:t>
      </w:r>
      <w:r>
        <w:t>means dis</w:t>
      </w:r>
      <w:r w:rsidRPr="002D2E7A">
        <w:t xml:space="preserve">abled </w:t>
      </w:r>
      <w:r w:rsidR="005D158C">
        <w:t xml:space="preserve">learners </w:t>
      </w:r>
      <w:r w:rsidR="00A14AC2">
        <w:t xml:space="preserve">will </w:t>
      </w:r>
      <w:r w:rsidRPr="002D2E7A">
        <w:t xml:space="preserve">have </w:t>
      </w:r>
      <w:r w:rsidR="00E55709">
        <w:t xml:space="preserve">access to an education system, curriculum and </w:t>
      </w:r>
      <w:r w:rsidRPr="002D2E7A">
        <w:t>supports that are simple to use</w:t>
      </w:r>
      <w:r w:rsidR="000860A7">
        <w:t>,</w:t>
      </w:r>
      <w:r w:rsidRPr="002D2E7A">
        <w:t xml:space="preserve"> flexible</w:t>
      </w:r>
      <w:r>
        <w:t xml:space="preserve">, </w:t>
      </w:r>
      <w:r w:rsidR="000860A7">
        <w:t>and adaptable</w:t>
      </w:r>
      <w:r w:rsidR="00394E74">
        <w:t>;</w:t>
      </w:r>
      <w:r w:rsidR="000860A7">
        <w:t xml:space="preserve"> </w:t>
      </w:r>
      <w:r>
        <w:t xml:space="preserve">and </w:t>
      </w:r>
      <w:r w:rsidRPr="00210ADD">
        <w:t xml:space="preserve">that everyone including </w:t>
      </w:r>
      <w:r w:rsidR="00E62955">
        <w:t>learners</w:t>
      </w:r>
      <w:r w:rsidRPr="00210ADD">
        <w:t xml:space="preserve">, </w:t>
      </w:r>
      <w:proofErr w:type="spellStart"/>
      <w:r w:rsidRPr="00210ADD">
        <w:t>whānau</w:t>
      </w:r>
      <w:proofErr w:type="spellEnd"/>
      <w:r w:rsidRPr="00210ADD">
        <w:t xml:space="preserve"> and </w:t>
      </w:r>
      <w:r w:rsidR="00C41FC4">
        <w:t>educators</w:t>
      </w:r>
      <w:r w:rsidRPr="00210ADD">
        <w:t xml:space="preserve"> are well informed about the availability</w:t>
      </w:r>
      <w:r>
        <w:t>, accessibility, and adaptability of the</w:t>
      </w:r>
      <w:r w:rsidR="00D357CB">
        <w:t xml:space="preserve">se. </w:t>
      </w:r>
      <w:r w:rsidR="000B367F">
        <w:t xml:space="preserve">Implementation of this principle in practice will result in </w:t>
      </w:r>
      <w:r>
        <w:t>removal of barriers to learning</w:t>
      </w:r>
      <w:r w:rsidR="008254B8">
        <w:t xml:space="preserve">, </w:t>
      </w:r>
      <w:r w:rsidR="00030E47">
        <w:t xml:space="preserve">provision of </w:t>
      </w:r>
      <w:r w:rsidR="0077325A">
        <w:t>assistive</w:t>
      </w:r>
      <w:r w:rsidR="00030E47">
        <w:t xml:space="preserve"> technology and </w:t>
      </w:r>
      <w:r w:rsidR="0077325A">
        <w:t xml:space="preserve">equipment, </w:t>
      </w:r>
      <w:r w:rsidR="008254B8">
        <w:t>and</w:t>
      </w:r>
      <w:r>
        <w:t xml:space="preserve"> </w:t>
      </w:r>
      <w:r w:rsidR="008254B8">
        <w:t xml:space="preserve">universal design principles to </w:t>
      </w:r>
      <w:r w:rsidR="00645384">
        <w:t>promote</w:t>
      </w:r>
      <w:r w:rsidR="008254B8">
        <w:t xml:space="preserve"> </w:t>
      </w:r>
      <w:r>
        <w:t>inclusion</w:t>
      </w:r>
      <w:r w:rsidR="008254B8">
        <w:t>.</w:t>
      </w:r>
    </w:p>
    <w:p w14:paraId="2CC3FAF5" w14:textId="77777777" w:rsidR="00571CE9" w:rsidRPr="002D2E7A" w:rsidRDefault="00571CE9" w:rsidP="00571CE9"/>
    <w:p w14:paraId="757F5D12" w14:textId="5F1AF1E7" w:rsidR="00571CE9" w:rsidRDefault="00571CE9" w:rsidP="00571CE9">
      <w:r w:rsidRPr="002D2E7A">
        <w:rPr>
          <w:b/>
          <w:bCs/>
        </w:rPr>
        <w:t>Relationship building</w:t>
      </w:r>
      <w:r>
        <w:rPr>
          <w:b/>
          <w:bCs/>
        </w:rPr>
        <w:t xml:space="preserve"> </w:t>
      </w:r>
      <w:r w:rsidR="00AF46C0">
        <w:t>when done effectively and authenticall</w:t>
      </w:r>
      <w:r w:rsidR="007B0808">
        <w:t>y</w:t>
      </w:r>
      <w:r w:rsidR="00AF46C0">
        <w:t xml:space="preserve"> </w:t>
      </w:r>
      <w:r w:rsidR="00852241">
        <w:t xml:space="preserve">will </w:t>
      </w:r>
      <w:r w:rsidR="0055014D">
        <w:t xml:space="preserve">allow for </w:t>
      </w:r>
      <w:r w:rsidR="007E3BC8">
        <w:t>collaborati</w:t>
      </w:r>
      <w:r w:rsidR="00EF6924">
        <w:t>ve</w:t>
      </w:r>
      <w:r w:rsidR="00B633D7">
        <w:t>,</w:t>
      </w:r>
      <w:r w:rsidR="00EF6924">
        <w:t xml:space="preserve"> </w:t>
      </w:r>
      <w:r w:rsidR="003E2038">
        <w:t>respectful</w:t>
      </w:r>
      <w:r w:rsidR="00AD76DA">
        <w:t>, culturally responsive</w:t>
      </w:r>
      <w:r w:rsidR="003E2038">
        <w:t xml:space="preserve"> </w:t>
      </w:r>
      <w:r w:rsidR="007E3BC8">
        <w:t xml:space="preserve">partnerships </w:t>
      </w:r>
      <w:r w:rsidR="003E2038">
        <w:t>which are essential for</w:t>
      </w:r>
      <w:r w:rsidR="00EB1F40">
        <w:t xml:space="preserve"> full participation and </w:t>
      </w:r>
      <w:r w:rsidR="00175AE0">
        <w:t xml:space="preserve">successful educational outcomes </w:t>
      </w:r>
      <w:r w:rsidR="006C46B7">
        <w:t xml:space="preserve">for disabled </w:t>
      </w:r>
      <w:r w:rsidR="00852241">
        <w:t xml:space="preserve">learners </w:t>
      </w:r>
      <w:r w:rsidR="004C55CD">
        <w:t xml:space="preserve">and their </w:t>
      </w:r>
      <w:proofErr w:type="spellStart"/>
      <w:r w:rsidR="004C55CD">
        <w:t>wh</w:t>
      </w:r>
      <w:r w:rsidR="00E62955">
        <w:rPr>
          <w:rFonts w:cstheme="minorHAnsi"/>
        </w:rPr>
        <w:t>ā</w:t>
      </w:r>
      <w:r w:rsidR="004C55CD">
        <w:t>nau</w:t>
      </w:r>
      <w:proofErr w:type="spellEnd"/>
      <w:r w:rsidR="00FF27D4">
        <w:t xml:space="preserve">. </w:t>
      </w:r>
      <w:r>
        <w:t xml:space="preserve"> </w:t>
      </w:r>
    </w:p>
    <w:p w14:paraId="0371D9F3" w14:textId="77777777" w:rsidR="00412575" w:rsidRDefault="00412575" w:rsidP="00412575"/>
    <w:p w14:paraId="6ECCC6F5" w14:textId="77777777" w:rsidR="00571CE9" w:rsidRPr="002B22A8" w:rsidRDefault="00571CE9" w:rsidP="00571CE9">
      <w:pPr>
        <w:rPr>
          <w:b/>
          <w:bCs/>
          <w:sz w:val="28"/>
          <w:szCs w:val="28"/>
        </w:rPr>
      </w:pPr>
      <w:r w:rsidRPr="002B22A8">
        <w:rPr>
          <w:b/>
          <w:bCs/>
          <w:sz w:val="28"/>
          <w:szCs w:val="28"/>
        </w:rPr>
        <w:t xml:space="preserve">What can you do now? </w:t>
      </w:r>
    </w:p>
    <w:p w14:paraId="40F9AA14" w14:textId="4464EB43" w:rsidR="00571CE9" w:rsidRDefault="00571CE9" w:rsidP="00571CE9">
      <w:r>
        <w:t xml:space="preserve">As disabled </w:t>
      </w:r>
      <w:r w:rsidR="008473B7">
        <w:t>learners</w:t>
      </w:r>
      <w:r w:rsidR="004161F5">
        <w:t xml:space="preserve"> </w:t>
      </w:r>
      <w:r>
        <w:t xml:space="preserve">journey through the education system and become more capable and independent, their </w:t>
      </w:r>
      <w:proofErr w:type="spellStart"/>
      <w:r>
        <w:t>wh</w:t>
      </w:r>
      <w:r>
        <w:rPr>
          <w:rFonts w:cstheme="minorHAnsi"/>
        </w:rPr>
        <w:t>ā</w:t>
      </w:r>
      <w:r>
        <w:t>nau</w:t>
      </w:r>
      <w:proofErr w:type="spellEnd"/>
      <w:r>
        <w:t xml:space="preserve"> and allies can play an important role in supporting them to uphold their mana</w:t>
      </w:r>
      <w:r w:rsidR="004161F5">
        <w:t>,</w:t>
      </w:r>
      <w:r>
        <w:t xml:space="preserve"> voice and agency across their educational experiences and settings. </w:t>
      </w:r>
    </w:p>
    <w:p w14:paraId="77820D89" w14:textId="012D02B6" w:rsidR="00F60A38" w:rsidRDefault="00B45ACF" w:rsidP="00F60A38">
      <w:r w:rsidRPr="00412575">
        <w:t xml:space="preserve">There are various legislative frameworks and guidelines that support the rights of disabled people to inclusive high-quality education in Aotearoa New Zealand, all of which align </w:t>
      </w:r>
      <w:r w:rsidR="008E0555">
        <w:t>with</w:t>
      </w:r>
      <w:r w:rsidRPr="00412575">
        <w:t xml:space="preserve"> the EGL principles</w:t>
      </w:r>
      <w:r w:rsidR="00777726">
        <w:t>.</w:t>
      </w:r>
      <w:r w:rsidRPr="00412575">
        <w:t xml:space="preserve"> Three such key legislative frameworks are the </w:t>
      </w:r>
      <w:hyperlink r:id="rId8" w:history="1">
        <w:r w:rsidRPr="00412575">
          <w:rPr>
            <w:rStyle w:val="Hyperlink"/>
          </w:rPr>
          <w:t>Education &amp; Training Act 2020</w:t>
        </w:r>
      </w:hyperlink>
      <w:r w:rsidRPr="00412575">
        <w:t xml:space="preserve">, </w:t>
      </w:r>
      <w:hyperlink r:id="rId9" w:history="1">
        <w:r w:rsidRPr="00412575">
          <w:rPr>
            <w:rStyle w:val="Hyperlink"/>
          </w:rPr>
          <w:t>NZ Disability Strategy 2016 – 2026, Outcome 1 - Education</w:t>
        </w:r>
      </w:hyperlink>
      <w:r w:rsidRPr="00412575">
        <w:t xml:space="preserve">, and </w:t>
      </w:r>
      <w:hyperlink r:id="rId10" w:history="1">
        <w:r w:rsidRPr="00412575">
          <w:rPr>
            <w:rStyle w:val="Hyperlink"/>
          </w:rPr>
          <w:t>UNCRPD article 24</w:t>
        </w:r>
      </w:hyperlink>
      <w:r w:rsidRPr="00412575">
        <w:t>.</w:t>
      </w:r>
      <w:r w:rsidR="00F60A38">
        <w:t xml:space="preserve"> EGL approach </w:t>
      </w:r>
      <w:r w:rsidR="0056233A">
        <w:t xml:space="preserve">in education </w:t>
      </w:r>
      <w:r w:rsidR="007469DC">
        <w:t>ensure</w:t>
      </w:r>
      <w:r w:rsidR="00AC6480">
        <w:t>s</w:t>
      </w:r>
      <w:r w:rsidR="007469DC">
        <w:t xml:space="preserve"> </w:t>
      </w:r>
      <w:r w:rsidR="00094795">
        <w:t>r</w:t>
      </w:r>
      <w:r w:rsidR="00094795" w:rsidRPr="00094795">
        <w:t xml:space="preserve">espect for the evolving capacities </w:t>
      </w:r>
      <w:r w:rsidR="00F3132D">
        <w:t xml:space="preserve">and identities </w:t>
      </w:r>
      <w:r w:rsidR="00094795" w:rsidRPr="00094795">
        <w:t xml:space="preserve">of </w:t>
      </w:r>
      <w:r w:rsidR="001E4D19">
        <w:t xml:space="preserve">disabled </w:t>
      </w:r>
      <w:r w:rsidR="00094795" w:rsidRPr="00094795">
        <w:t xml:space="preserve">children </w:t>
      </w:r>
      <w:r w:rsidR="008D5404">
        <w:t>as stated in</w:t>
      </w:r>
      <w:r w:rsidR="00D44354">
        <w:t xml:space="preserve"> </w:t>
      </w:r>
      <w:hyperlink r:id="rId11" w:history="1">
        <w:r w:rsidR="00D44354" w:rsidRPr="0096294A">
          <w:rPr>
            <w:rStyle w:val="Hyperlink"/>
          </w:rPr>
          <w:t>article 3, principle 8 of the UNCRPD</w:t>
        </w:r>
      </w:hyperlink>
      <w:r w:rsidR="00D44354">
        <w:t>.</w:t>
      </w:r>
    </w:p>
    <w:p w14:paraId="34D40860" w14:textId="534E31E9" w:rsidR="00B45ACF" w:rsidRPr="00412575" w:rsidRDefault="00B45ACF" w:rsidP="00B45ACF"/>
    <w:p w14:paraId="44FE8B85" w14:textId="7B35762D" w:rsidR="00571CE9" w:rsidRDefault="00571CE9" w:rsidP="00571CE9">
      <w:r w:rsidRPr="002B22A8">
        <w:lastRenderedPageBreak/>
        <w:t xml:space="preserve">Given that successful inclusion in education can </w:t>
      </w:r>
      <w:r>
        <w:t xml:space="preserve">significantly </w:t>
      </w:r>
      <w:r w:rsidRPr="002B22A8">
        <w:t>impact long-term life outcomes, it is important that disabled</w:t>
      </w:r>
      <w:r>
        <w:t xml:space="preserve"> </w:t>
      </w:r>
      <w:r w:rsidR="00E247A2">
        <w:t>learners</w:t>
      </w:r>
      <w:r>
        <w:t>,</w:t>
      </w:r>
      <w:r w:rsidRPr="002B22A8">
        <w:t xml:space="preserve"> </w:t>
      </w:r>
      <w:r>
        <w:t xml:space="preserve">their </w:t>
      </w:r>
      <w:proofErr w:type="spellStart"/>
      <w:r>
        <w:t>wh</w:t>
      </w:r>
      <w:r>
        <w:rPr>
          <w:rFonts w:cstheme="minorHAnsi"/>
        </w:rPr>
        <w:t>ā</w:t>
      </w:r>
      <w:r>
        <w:t>nau</w:t>
      </w:r>
      <w:proofErr w:type="spellEnd"/>
      <w:r>
        <w:t xml:space="preserve"> and allies</w:t>
      </w:r>
      <w:r w:rsidRPr="002B22A8">
        <w:t>,</w:t>
      </w:r>
      <w:r>
        <w:t xml:space="preserve"> </w:t>
      </w:r>
      <w:r w:rsidRPr="002B22A8">
        <w:t xml:space="preserve">take up a proactive role in introducing and embedding EGL principles </w:t>
      </w:r>
      <w:r w:rsidR="00BA6A2D">
        <w:t>across</w:t>
      </w:r>
      <w:r w:rsidRPr="002B22A8">
        <w:t xml:space="preserve"> educational spaces</w:t>
      </w:r>
      <w:r w:rsidR="00FA73B9">
        <w:t>.</w:t>
      </w:r>
      <w:r w:rsidR="0012585C">
        <w:t xml:space="preserve"> </w:t>
      </w:r>
      <w:r w:rsidRPr="002B22A8">
        <w:t xml:space="preserve"> </w:t>
      </w:r>
    </w:p>
    <w:p w14:paraId="743B4761" w14:textId="2B5511D0" w:rsidR="00571CE9" w:rsidRPr="002B22A8" w:rsidRDefault="00571CE9" w:rsidP="00571CE9">
      <w:r w:rsidRPr="002B22A8">
        <w:t>Here are some ways in which</w:t>
      </w:r>
      <w:r w:rsidR="005F5C13">
        <w:t xml:space="preserve"> disabled </w:t>
      </w:r>
      <w:r w:rsidR="00E247A2">
        <w:t>learners,</w:t>
      </w:r>
      <w:r w:rsidR="00EC3E0F">
        <w:t xml:space="preserve"> </w:t>
      </w:r>
      <w:proofErr w:type="spellStart"/>
      <w:r w:rsidRPr="002B22A8">
        <w:t>whānau</w:t>
      </w:r>
      <w:proofErr w:type="spellEnd"/>
      <w:r w:rsidRPr="002B22A8">
        <w:t xml:space="preserve"> and carers can do this:</w:t>
      </w:r>
    </w:p>
    <w:p w14:paraId="212E3AD1" w14:textId="725C084D" w:rsidR="00571CE9" w:rsidRDefault="00571CE9" w:rsidP="00571CE9">
      <w:pPr>
        <w:numPr>
          <w:ilvl w:val="0"/>
          <w:numId w:val="1"/>
        </w:numPr>
      </w:pPr>
      <w:r w:rsidRPr="002B22A8">
        <w:t>Start using the EGL principles and language in you</w:t>
      </w:r>
      <w:r>
        <w:t xml:space="preserve">r relevant </w:t>
      </w:r>
      <w:r w:rsidRPr="002B22A8">
        <w:t>educational settings, and across all interactions with educators, professionals and education service providers</w:t>
      </w:r>
      <w:r>
        <w:t xml:space="preserve">. </w:t>
      </w:r>
    </w:p>
    <w:p w14:paraId="69D5CFFD" w14:textId="77777777" w:rsidR="001E3A2B" w:rsidRPr="001E3A2B" w:rsidRDefault="001E3A2B" w:rsidP="001E3A2B">
      <w:pPr>
        <w:pStyle w:val="ListParagraph"/>
        <w:numPr>
          <w:ilvl w:val="0"/>
          <w:numId w:val="1"/>
        </w:numPr>
      </w:pPr>
      <w:r w:rsidRPr="001E3A2B">
        <w:t xml:space="preserve">Express your desire for EGL principles to be the foundational principles for all engagement, communication and decision making about all learning and education related experiences </w:t>
      </w:r>
    </w:p>
    <w:p w14:paraId="05933108" w14:textId="00EAF177" w:rsidR="00571CE9" w:rsidRPr="002B22A8" w:rsidRDefault="00571CE9" w:rsidP="00571CE9">
      <w:pPr>
        <w:numPr>
          <w:ilvl w:val="0"/>
          <w:numId w:val="1"/>
        </w:numPr>
      </w:pPr>
      <w:r w:rsidRPr="002B22A8">
        <w:t xml:space="preserve">Share information about </w:t>
      </w:r>
      <w:hyperlink r:id="rId12" w:history="1">
        <w:r w:rsidRPr="00AC262B">
          <w:rPr>
            <w:rStyle w:val="Hyperlink"/>
          </w:rPr>
          <w:t>EGL principles</w:t>
        </w:r>
        <w:r w:rsidR="006F0E16" w:rsidRPr="00AC262B">
          <w:rPr>
            <w:rStyle w:val="Hyperlink"/>
          </w:rPr>
          <w:t>, vision and characteristics</w:t>
        </w:r>
      </w:hyperlink>
      <w:r w:rsidRPr="002B22A8">
        <w:t xml:space="preserve"> with </w:t>
      </w:r>
      <w:r>
        <w:t xml:space="preserve">educators, </w:t>
      </w:r>
      <w:r w:rsidRPr="002B22A8">
        <w:t>support staff, specialists, leadership</w:t>
      </w:r>
      <w:r w:rsidR="00D72F0B">
        <w:t>/</w:t>
      </w:r>
      <w:r>
        <w:t>governance teams</w:t>
      </w:r>
      <w:r w:rsidRPr="002B22A8">
        <w:t xml:space="preserve"> in </w:t>
      </w:r>
      <w:r>
        <w:t>your</w:t>
      </w:r>
      <w:r w:rsidRPr="002B22A8">
        <w:t xml:space="preserve"> educational setting</w:t>
      </w:r>
      <w:r>
        <w:t xml:space="preserve">, and </w:t>
      </w:r>
      <w:r w:rsidRPr="002B22A8">
        <w:t>your local Ministry of Education</w:t>
      </w:r>
      <w:r w:rsidR="00E247A2">
        <w:t xml:space="preserve"> </w:t>
      </w:r>
      <w:r w:rsidRPr="002B22A8">
        <w:t>office/staff</w:t>
      </w:r>
      <w:r>
        <w:t xml:space="preserve">. </w:t>
      </w:r>
    </w:p>
    <w:p w14:paraId="19836E5B" w14:textId="271D4180" w:rsidR="00571CE9" w:rsidRDefault="00571CE9" w:rsidP="00571CE9">
      <w:pPr>
        <w:numPr>
          <w:ilvl w:val="0"/>
          <w:numId w:val="1"/>
        </w:numPr>
      </w:pPr>
      <w:r w:rsidRPr="002B22A8">
        <w:t xml:space="preserve">Write to your </w:t>
      </w:r>
      <w:r>
        <w:t>education</w:t>
      </w:r>
      <w:r w:rsidR="0090271E">
        <w:t xml:space="preserve"> governance </w:t>
      </w:r>
      <w:r w:rsidRPr="002B22A8">
        <w:t>board</w:t>
      </w:r>
      <w:r w:rsidR="009C09F1">
        <w:t>s</w:t>
      </w:r>
      <w:r w:rsidRPr="002B22A8">
        <w:t xml:space="preserve"> and inquire with them how they intend to adopt and give regard to EGL principles</w:t>
      </w:r>
      <w:r w:rsidR="00A34B80">
        <w:t xml:space="preserve"> and vision </w:t>
      </w:r>
      <w:r w:rsidRPr="002B22A8">
        <w:t xml:space="preserve">within their </w:t>
      </w:r>
      <w:r>
        <w:t xml:space="preserve">education </w:t>
      </w:r>
      <w:r w:rsidR="00A34B80">
        <w:t>spaces</w:t>
      </w:r>
      <w:r w:rsidR="00EA4CA5">
        <w:t xml:space="preserve">, </w:t>
      </w:r>
      <w:r w:rsidRPr="002B22A8">
        <w:t>polic</w:t>
      </w:r>
      <w:r w:rsidR="00EA4CA5">
        <w:t>ies</w:t>
      </w:r>
      <w:r w:rsidRPr="002B22A8">
        <w:t xml:space="preserve"> and practices. Offer to meet and share more information with them </w:t>
      </w:r>
      <w:r>
        <w:t xml:space="preserve">about what EGL principles mean to you and your </w:t>
      </w:r>
      <w:proofErr w:type="spellStart"/>
      <w:r w:rsidR="00EA4CA5">
        <w:t>wh</w:t>
      </w:r>
      <w:r w:rsidR="00980985">
        <w:rPr>
          <w:rFonts w:cstheme="minorHAnsi"/>
        </w:rPr>
        <w:t>ā</w:t>
      </w:r>
      <w:r w:rsidR="00EA4CA5">
        <w:t>nau</w:t>
      </w:r>
      <w:proofErr w:type="spellEnd"/>
      <w:r w:rsidR="00EA4CA5">
        <w:t xml:space="preserve">. </w:t>
      </w:r>
    </w:p>
    <w:p w14:paraId="622D4E08" w14:textId="2DF25FF9" w:rsidR="00571CE9" w:rsidRPr="002B22A8" w:rsidRDefault="00571CE9" w:rsidP="00571CE9">
      <w:pPr>
        <w:numPr>
          <w:ilvl w:val="0"/>
          <w:numId w:val="1"/>
        </w:numPr>
      </w:pPr>
      <w:r>
        <w:t>Establish</w:t>
      </w:r>
      <w:r w:rsidR="00CB29A2">
        <w:t xml:space="preserve">/participate in </w:t>
      </w:r>
      <w:r>
        <w:t xml:space="preserve">core community groups and regional leadership groups, to discuss with other disabled people and </w:t>
      </w:r>
      <w:proofErr w:type="spellStart"/>
      <w:r>
        <w:t>wh</w:t>
      </w:r>
      <w:r>
        <w:rPr>
          <w:rFonts w:cstheme="minorHAnsi"/>
        </w:rPr>
        <w:t>ā</w:t>
      </w:r>
      <w:r>
        <w:t>nau</w:t>
      </w:r>
      <w:proofErr w:type="spellEnd"/>
      <w:r>
        <w:t xml:space="preserve"> how you can embed EGL in education within your local community/regional spaces and influence other education agencies and M</w:t>
      </w:r>
      <w:r w:rsidR="00E247A2">
        <w:t>inistry of Education</w:t>
      </w:r>
      <w:r>
        <w:t xml:space="preserve"> to do so. </w:t>
      </w:r>
    </w:p>
    <w:p w14:paraId="609047FF" w14:textId="6D37F807" w:rsidR="00FF079B" w:rsidRDefault="00FF079B"/>
    <w:p w14:paraId="1733183C" w14:textId="12A6C48B" w:rsidR="006564C1" w:rsidRDefault="006564C1">
      <w:r>
        <w:t>Last updated: Oct 2022</w:t>
      </w:r>
    </w:p>
    <w:sectPr w:rsidR="006564C1" w:rsidSect="00D26FD2">
      <w:headerReference w:type="default" r:id="rId13"/>
      <w:footerReference w:type="default" r:id="rId14"/>
      <w:pgSz w:w="11906" w:h="16838"/>
      <w:pgMar w:top="1134" w:right="1274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A9B6" w14:textId="77777777" w:rsidR="0064510C" w:rsidRDefault="0064510C">
      <w:pPr>
        <w:spacing w:after="0" w:line="240" w:lineRule="auto"/>
      </w:pPr>
      <w:r>
        <w:separator/>
      </w:r>
    </w:p>
  </w:endnote>
  <w:endnote w:type="continuationSeparator" w:id="0">
    <w:p w14:paraId="13B7D9DA" w14:textId="77777777" w:rsidR="0064510C" w:rsidRDefault="0064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982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ABE71" w14:textId="77777777" w:rsidR="00C03A4E" w:rsidRDefault="00571C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8ED64" w14:textId="77777777" w:rsidR="0088220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80E8" w14:textId="77777777" w:rsidR="0064510C" w:rsidRDefault="0064510C">
      <w:pPr>
        <w:spacing w:after="0" w:line="240" w:lineRule="auto"/>
      </w:pPr>
      <w:r>
        <w:separator/>
      </w:r>
    </w:p>
  </w:footnote>
  <w:footnote w:type="continuationSeparator" w:id="0">
    <w:p w14:paraId="1DB03047" w14:textId="77777777" w:rsidR="0064510C" w:rsidRDefault="0064510C">
      <w:pPr>
        <w:spacing w:after="0" w:line="240" w:lineRule="auto"/>
      </w:pPr>
      <w:r>
        <w:continuationSeparator/>
      </w:r>
    </w:p>
  </w:footnote>
  <w:footnote w:id="1">
    <w:p w14:paraId="14ADB0C5" w14:textId="60A7675F" w:rsidR="001A79C5" w:rsidRDefault="001A7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34FBA">
        <w:t>For the purpose of this paper, t</w:t>
      </w:r>
      <w:r>
        <w:t xml:space="preserve">he term disabled learners </w:t>
      </w:r>
      <w:r w:rsidR="00C452AE">
        <w:t>include</w:t>
      </w:r>
      <w:r>
        <w:t xml:space="preserve"> disabled people across all stages of life and education</w:t>
      </w:r>
      <w:r w:rsidR="00034FBA">
        <w:t xml:space="preserve"> settings</w:t>
      </w:r>
      <w:r>
        <w:t xml:space="preserve">, </w:t>
      </w:r>
      <w:r w:rsidR="00034FBA">
        <w:t>including</w:t>
      </w:r>
      <w:r>
        <w:t xml:space="preserve"> </w:t>
      </w:r>
      <w:r w:rsidR="00034FBA">
        <w:t xml:space="preserve">early </w:t>
      </w:r>
      <w:r>
        <w:t>childhood</w:t>
      </w:r>
      <w:r w:rsidR="00034FBA">
        <w:t xml:space="preserve">, language nests, schooling pathways, </w:t>
      </w:r>
      <w:proofErr w:type="spellStart"/>
      <w:r w:rsidR="00034FBA">
        <w:t>kura</w:t>
      </w:r>
      <w:proofErr w:type="spellEnd"/>
      <w:r w:rsidR="00034FBA">
        <w:t xml:space="preserve"> </w:t>
      </w:r>
      <w:proofErr w:type="spellStart"/>
      <w:r w:rsidR="00034FBA">
        <w:t>kaupapa</w:t>
      </w:r>
      <w:proofErr w:type="spellEnd"/>
      <w:r w:rsidR="00034FBA">
        <w:t xml:space="preserve"> </w:t>
      </w:r>
      <w:proofErr w:type="spellStart"/>
      <w:r w:rsidR="00034FBA">
        <w:t>Maori</w:t>
      </w:r>
      <w:proofErr w:type="spellEnd"/>
      <w:r w:rsidR="00034FBA">
        <w:t xml:space="preserve">, tertiary, </w:t>
      </w:r>
      <w:r w:rsidR="0072122E" w:rsidRPr="0072122E">
        <w:t>wānanga</w:t>
      </w:r>
      <w:r w:rsidR="0072122E">
        <w:t xml:space="preserve">, </w:t>
      </w:r>
      <w:r w:rsidR="00034FBA">
        <w:t>university, vocational, and adult education opportunities.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23B1" w14:textId="4C3B25A5" w:rsidR="008A5EF0" w:rsidRDefault="008A5EF0" w:rsidP="008A5EF0">
    <w:pPr>
      <w:pStyle w:val="Header"/>
      <w:jc w:val="center"/>
    </w:pPr>
    <w:r>
      <w:rPr>
        <w:b/>
        <w:bCs/>
        <w:noProof/>
        <w:sz w:val="44"/>
        <w:szCs w:val="44"/>
      </w:rPr>
      <w:drawing>
        <wp:inline distT="0" distB="0" distL="0" distR="0" wp14:anchorId="141FFE90" wp14:editId="040CE1C2">
          <wp:extent cx="5836920" cy="1127125"/>
          <wp:effectExtent l="0" t="0" r="5080" b="317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6920" cy="112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C51D1"/>
    <w:multiLevelType w:val="hybridMultilevel"/>
    <w:tmpl w:val="5CCED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41"/>
    <w:rsid w:val="000260BB"/>
    <w:rsid w:val="00030E47"/>
    <w:rsid w:val="00034FBA"/>
    <w:rsid w:val="000516B0"/>
    <w:rsid w:val="00053997"/>
    <w:rsid w:val="000668C2"/>
    <w:rsid w:val="000860A7"/>
    <w:rsid w:val="00094795"/>
    <w:rsid w:val="000A5734"/>
    <w:rsid w:val="000A6CC0"/>
    <w:rsid w:val="000B288F"/>
    <w:rsid w:val="000B367F"/>
    <w:rsid w:val="000D77E5"/>
    <w:rsid w:val="000F3FDF"/>
    <w:rsid w:val="00102741"/>
    <w:rsid w:val="0012585C"/>
    <w:rsid w:val="001521B3"/>
    <w:rsid w:val="0016228B"/>
    <w:rsid w:val="00162AEE"/>
    <w:rsid w:val="00165BBC"/>
    <w:rsid w:val="00175AE0"/>
    <w:rsid w:val="00184FE2"/>
    <w:rsid w:val="001A79C5"/>
    <w:rsid w:val="001C581A"/>
    <w:rsid w:val="001D31B6"/>
    <w:rsid w:val="001E3A2B"/>
    <w:rsid w:val="001E4D19"/>
    <w:rsid w:val="00216CA2"/>
    <w:rsid w:val="0022176D"/>
    <w:rsid w:val="00222973"/>
    <w:rsid w:val="00232A5E"/>
    <w:rsid w:val="00255F08"/>
    <w:rsid w:val="00266241"/>
    <w:rsid w:val="0026642B"/>
    <w:rsid w:val="0027544E"/>
    <w:rsid w:val="002A2085"/>
    <w:rsid w:val="002A29B9"/>
    <w:rsid w:val="002F6F86"/>
    <w:rsid w:val="00341188"/>
    <w:rsid w:val="00351503"/>
    <w:rsid w:val="00363BC0"/>
    <w:rsid w:val="00374381"/>
    <w:rsid w:val="0037604D"/>
    <w:rsid w:val="00394E74"/>
    <w:rsid w:val="003A7600"/>
    <w:rsid w:val="003D55EB"/>
    <w:rsid w:val="003E0BEC"/>
    <w:rsid w:val="003E2038"/>
    <w:rsid w:val="003E4F4E"/>
    <w:rsid w:val="003E71CA"/>
    <w:rsid w:val="003F785B"/>
    <w:rsid w:val="00412575"/>
    <w:rsid w:val="004161F5"/>
    <w:rsid w:val="004419CF"/>
    <w:rsid w:val="00496FB9"/>
    <w:rsid w:val="004A2AE6"/>
    <w:rsid w:val="004B7BF2"/>
    <w:rsid w:val="004C55CD"/>
    <w:rsid w:val="004D4886"/>
    <w:rsid w:val="004F032B"/>
    <w:rsid w:val="004F074A"/>
    <w:rsid w:val="004F2C6F"/>
    <w:rsid w:val="004F7E5B"/>
    <w:rsid w:val="00502172"/>
    <w:rsid w:val="0052504B"/>
    <w:rsid w:val="00531952"/>
    <w:rsid w:val="0055014D"/>
    <w:rsid w:val="00550923"/>
    <w:rsid w:val="005573FE"/>
    <w:rsid w:val="0056233A"/>
    <w:rsid w:val="00571CE9"/>
    <w:rsid w:val="00596A63"/>
    <w:rsid w:val="005A0197"/>
    <w:rsid w:val="005A43FC"/>
    <w:rsid w:val="005D158C"/>
    <w:rsid w:val="005D30E1"/>
    <w:rsid w:val="005D7A7E"/>
    <w:rsid w:val="005E41BB"/>
    <w:rsid w:val="005F4C6E"/>
    <w:rsid w:val="005F5C13"/>
    <w:rsid w:val="006005D9"/>
    <w:rsid w:val="0064510C"/>
    <w:rsid w:val="00645384"/>
    <w:rsid w:val="00655031"/>
    <w:rsid w:val="006564C1"/>
    <w:rsid w:val="00667799"/>
    <w:rsid w:val="006865AB"/>
    <w:rsid w:val="006A5EC0"/>
    <w:rsid w:val="006B2EA7"/>
    <w:rsid w:val="006C46B7"/>
    <w:rsid w:val="006E27FB"/>
    <w:rsid w:val="006E6AAB"/>
    <w:rsid w:val="006F0C8B"/>
    <w:rsid w:val="006F0E16"/>
    <w:rsid w:val="006F494A"/>
    <w:rsid w:val="00700E48"/>
    <w:rsid w:val="00707008"/>
    <w:rsid w:val="00711856"/>
    <w:rsid w:val="00716011"/>
    <w:rsid w:val="0072122E"/>
    <w:rsid w:val="007275BC"/>
    <w:rsid w:val="007469DC"/>
    <w:rsid w:val="00753787"/>
    <w:rsid w:val="007574E4"/>
    <w:rsid w:val="00757632"/>
    <w:rsid w:val="00770BE9"/>
    <w:rsid w:val="00772773"/>
    <w:rsid w:val="0077325A"/>
    <w:rsid w:val="00773875"/>
    <w:rsid w:val="00777726"/>
    <w:rsid w:val="00780418"/>
    <w:rsid w:val="00783014"/>
    <w:rsid w:val="00790BA5"/>
    <w:rsid w:val="0079648A"/>
    <w:rsid w:val="007A72C6"/>
    <w:rsid w:val="007B048C"/>
    <w:rsid w:val="007B0808"/>
    <w:rsid w:val="007C0C70"/>
    <w:rsid w:val="007E3BC8"/>
    <w:rsid w:val="007E6ACB"/>
    <w:rsid w:val="007F1CAF"/>
    <w:rsid w:val="007F5F0A"/>
    <w:rsid w:val="00802728"/>
    <w:rsid w:val="008050F3"/>
    <w:rsid w:val="008254B8"/>
    <w:rsid w:val="00834E34"/>
    <w:rsid w:val="008473B7"/>
    <w:rsid w:val="0084791C"/>
    <w:rsid w:val="00852241"/>
    <w:rsid w:val="00892E39"/>
    <w:rsid w:val="008A5EF0"/>
    <w:rsid w:val="008B533C"/>
    <w:rsid w:val="008C7A01"/>
    <w:rsid w:val="008D5404"/>
    <w:rsid w:val="008E0555"/>
    <w:rsid w:val="008F0BAC"/>
    <w:rsid w:val="009008F5"/>
    <w:rsid w:val="009020B6"/>
    <w:rsid w:val="0090271E"/>
    <w:rsid w:val="009045EA"/>
    <w:rsid w:val="009105D1"/>
    <w:rsid w:val="009249C7"/>
    <w:rsid w:val="0096294A"/>
    <w:rsid w:val="00973868"/>
    <w:rsid w:val="00980985"/>
    <w:rsid w:val="0098729F"/>
    <w:rsid w:val="009A3AF4"/>
    <w:rsid w:val="009B21C5"/>
    <w:rsid w:val="009C09F1"/>
    <w:rsid w:val="009E3C76"/>
    <w:rsid w:val="00A14AC2"/>
    <w:rsid w:val="00A22CFC"/>
    <w:rsid w:val="00A23399"/>
    <w:rsid w:val="00A3237E"/>
    <w:rsid w:val="00A34B80"/>
    <w:rsid w:val="00A41B7E"/>
    <w:rsid w:val="00A52F29"/>
    <w:rsid w:val="00A66A45"/>
    <w:rsid w:val="00A76006"/>
    <w:rsid w:val="00A806A2"/>
    <w:rsid w:val="00A90989"/>
    <w:rsid w:val="00AA5327"/>
    <w:rsid w:val="00AB0B72"/>
    <w:rsid w:val="00AC262B"/>
    <w:rsid w:val="00AC6480"/>
    <w:rsid w:val="00AD76DA"/>
    <w:rsid w:val="00AE2BBB"/>
    <w:rsid w:val="00AF46C0"/>
    <w:rsid w:val="00AF4702"/>
    <w:rsid w:val="00B0068D"/>
    <w:rsid w:val="00B027C4"/>
    <w:rsid w:val="00B02BD9"/>
    <w:rsid w:val="00B17E0C"/>
    <w:rsid w:val="00B45ACF"/>
    <w:rsid w:val="00B47E6E"/>
    <w:rsid w:val="00B50D79"/>
    <w:rsid w:val="00B633D7"/>
    <w:rsid w:val="00B830F0"/>
    <w:rsid w:val="00B90F59"/>
    <w:rsid w:val="00BA6A2D"/>
    <w:rsid w:val="00BB66D7"/>
    <w:rsid w:val="00BD00CF"/>
    <w:rsid w:val="00C00158"/>
    <w:rsid w:val="00C151E5"/>
    <w:rsid w:val="00C41FC4"/>
    <w:rsid w:val="00C4498A"/>
    <w:rsid w:val="00C452AE"/>
    <w:rsid w:val="00C5418E"/>
    <w:rsid w:val="00C575D0"/>
    <w:rsid w:val="00C6053C"/>
    <w:rsid w:val="00C72D21"/>
    <w:rsid w:val="00CB29A2"/>
    <w:rsid w:val="00CB6343"/>
    <w:rsid w:val="00D113FE"/>
    <w:rsid w:val="00D14F87"/>
    <w:rsid w:val="00D26FD2"/>
    <w:rsid w:val="00D357CB"/>
    <w:rsid w:val="00D44354"/>
    <w:rsid w:val="00D4473B"/>
    <w:rsid w:val="00D67246"/>
    <w:rsid w:val="00D72F0B"/>
    <w:rsid w:val="00D82277"/>
    <w:rsid w:val="00DA467C"/>
    <w:rsid w:val="00DC5FB2"/>
    <w:rsid w:val="00DD43E0"/>
    <w:rsid w:val="00DF18E9"/>
    <w:rsid w:val="00DF3F31"/>
    <w:rsid w:val="00E07326"/>
    <w:rsid w:val="00E17CB7"/>
    <w:rsid w:val="00E247A2"/>
    <w:rsid w:val="00E45C88"/>
    <w:rsid w:val="00E55709"/>
    <w:rsid w:val="00E62955"/>
    <w:rsid w:val="00E70F58"/>
    <w:rsid w:val="00E7358E"/>
    <w:rsid w:val="00E76876"/>
    <w:rsid w:val="00EA0093"/>
    <w:rsid w:val="00EA321E"/>
    <w:rsid w:val="00EA4CA5"/>
    <w:rsid w:val="00EB1F40"/>
    <w:rsid w:val="00EC1800"/>
    <w:rsid w:val="00EC3E0F"/>
    <w:rsid w:val="00ED5926"/>
    <w:rsid w:val="00ED63DF"/>
    <w:rsid w:val="00EF5BDD"/>
    <w:rsid w:val="00EF6924"/>
    <w:rsid w:val="00F3132D"/>
    <w:rsid w:val="00F46555"/>
    <w:rsid w:val="00F47F7A"/>
    <w:rsid w:val="00F60A38"/>
    <w:rsid w:val="00F75471"/>
    <w:rsid w:val="00F90507"/>
    <w:rsid w:val="00F932E8"/>
    <w:rsid w:val="00FA73B9"/>
    <w:rsid w:val="00FB22AF"/>
    <w:rsid w:val="00FD28F8"/>
    <w:rsid w:val="00FF079B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B9C2"/>
  <w15:chartTrackingRefBased/>
  <w15:docId w15:val="{6E44949F-9D45-4E8A-BDEB-E00092B1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C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1C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1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CE9"/>
  </w:style>
  <w:style w:type="character" w:styleId="CommentReference">
    <w:name w:val="annotation reference"/>
    <w:basedOn w:val="DefaultParagraphFont"/>
    <w:uiPriority w:val="99"/>
    <w:semiHidden/>
    <w:unhideWhenUsed/>
    <w:rsid w:val="00571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CE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257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9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9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9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t.nz/act/public/2020/0038/latest/LMS170676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ablinggoodlives.co.nz/about-egl/egl-approach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.org/development/desa/disabilities/convention-on-the-rights-of-persons-with-disabilities/article-3-general-principle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.org/development/desa/disabilities/convention-on-the-rights-of-persons-with-disabilities/article-24-educa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di.govt.nz/nz-disability-strategy/about-the-strategy/new-zealand-disability-strategy-2016-2026/the-new-disability-strategy-download-in-a-range-of-accessible-formats/new-zealand-disability-strategy-read-online/outcome-1-education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A462-1968-4BB8-8CF3-D586BEC1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Frian Wadia</dc:creator>
  <cp:keywords/>
  <dc:description/>
  <cp:lastModifiedBy>Jade Farrar</cp:lastModifiedBy>
  <cp:revision>4</cp:revision>
  <dcterms:created xsi:type="dcterms:W3CDTF">2022-10-06T23:10:00Z</dcterms:created>
  <dcterms:modified xsi:type="dcterms:W3CDTF">2022-10-09T03:35:00Z</dcterms:modified>
</cp:coreProperties>
</file>